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922"/>
        <w:gridCol w:w="297"/>
        <w:gridCol w:w="1235"/>
        <w:gridCol w:w="698"/>
        <w:gridCol w:w="578"/>
        <w:gridCol w:w="1434"/>
        <w:gridCol w:w="199"/>
        <w:gridCol w:w="1195"/>
        <w:gridCol w:w="1251"/>
      </w:tblGrid>
      <w:tr w:rsidR="00834F70" w14:paraId="79B8010C" w14:textId="77777777" w:rsidTr="007809CB">
        <w:trPr>
          <w:jc w:val="center"/>
        </w:trPr>
        <w:tc>
          <w:tcPr>
            <w:tcW w:w="9072" w:type="dxa"/>
            <w:gridSpan w:val="10"/>
          </w:tcPr>
          <w:p w14:paraId="10D941A5" w14:textId="33750886" w:rsidR="00834F70" w:rsidRDefault="00C139C3" w:rsidP="00242F8B">
            <w:pPr>
              <w:jc w:val="center"/>
              <w:rPr>
                <w:rFonts w:ascii="Arial" w:hAnsi="Arial" w:cs="Arial"/>
                <w:sz w:val="20"/>
                <w:szCs w:val="20"/>
              </w:rPr>
            </w:pPr>
            <w:r>
              <w:rPr>
                <w:rFonts w:ascii="Arial" w:hAnsi="Arial" w:cs="Arial"/>
                <w:noProof/>
                <w:sz w:val="20"/>
                <w:szCs w:val="20"/>
              </w:rPr>
              <w:drawing>
                <wp:inline distT="0" distB="0" distL="0" distR="0" wp14:anchorId="2BD4C271" wp14:editId="0AF863EA">
                  <wp:extent cx="1514475" cy="7892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164" cy="808411"/>
                          </a:xfrm>
                          <a:prstGeom prst="rect">
                            <a:avLst/>
                          </a:prstGeom>
                        </pic:spPr>
                      </pic:pic>
                    </a:graphicData>
                  </a:graphic>
                </wp:inline>
              </w:drawing>
            </w:r>
          </w:p>
        </w:tc>
      </w:tr>
      <w:tr w:rsidR="007809CB" w14:paraId="1C096A5F" w14:textId="77777777" w:rsidTr="007809CB">
        <w:trPr>
          <w:jc w:val="center"/>
        </w:trPr>
        <w:tc>
          <w:tcPr>
            <w:tcW w:w="9072" w:type="dxa"/>
            <w:gridSpan w:val="10"/>
          </w:tcPr>
          <w:p w14:paraId="4F3EEDD0" w14:textId="77777777" w:rsidR="00A23CBD" w:rsidRDefault="00A23CBD" w:rsidP="007809CB">
            <w:pPr>
              <w:ind w:left="5954"/>
              <w:jc w:val="right"/>
              <w:rPr>
                <w:rFonts w:ascii="Arial" w:hAnsi="Arial" w:cs="Arial"/>
                <w:sz w:val="20"/>
                <w:szCs w:val="20"/>
              </w:rPr>
            </w:pPr>
          </w:p>
          <w:p w14:paraId="2163122D" w14:textId="7D876BC9" w:rsidR="007809CB" w:rsidRPr="00C478F6" w:rsidRDefault="007809CB" w:rsidP="007809CB">
            <w:pPr>
              <w:ind w:left="5954"/>
              <w:jc w:val="right"/>
              <w:rPr>
                <w:rFonts w:ascii="Arial" w:hAnsi="Arial" w:cs="Arial"/>
                <w:sz w:val="20"/>
                <w:szCs w:val="20"/>
              </w:rPr>
            </w:pPr>
            <w:r>
              <w:rPr>
                <w:rFonts w:ascii="Arial" w:hAnsi="Arial" w:cs="Arial"/>
                <w:sz w:val="20"/>
                <w:szCs w:val="20"/>
              </w:rPr>
              <w:t>Paris, le 9</w:t>
            </w:r>
            <w:r w:rsidRPr="00C478F6">
              <w:rPr>
                <w:rFonts w:ascii="Arial" w:hAnsi="Arial" w:cs="Arial"/>
                <w:sz w:val="20"/>
                <w:szCs w:val="20"/>
              </w:rPr>
              <w:t xml:space="preserve"> </w:t>
            </w:r>
            <w:r>
              <w:rPr>
                <w:rFonts w:ascii="Arial" w:hAnsi="Arial" w:cs="Arial"/>
                <w:sz w:val="20"/>
                <w:szCs w:val="20"/>
              </w:rPr>
              <w:t>mars 2021</w:t>
            </w:r>
          </w:p>
          <w:p w14:paraId="70BD0184" w14:textId="77777777" w:rsidR="007809CB" w:rsidRDefault="007809CB" w:rsidP="007809CB">
            <w:pPr>
              <w:rPr>
                <w:rFonts w:ascii="Arial" w:hAnsi="Arial" w:cs="Arial"/>
                <w:b/>
                <w:bCs/>
                <w:sz w:val="20"/>
                <w:szCs w:val="20"/>
              </w:rPr>
            </w:pPr>
            <w:r>
              <w:rPr>
                <w:rFonts w:ascii="Arial" w:hAnsi="Arial" w:cs="Arial"/>
                <w:b/>
                <w:bCs/>
                <w:sz w:val="20"/>
                <w:szCs w:val="20"/>
              </w:rPr>
              <w:t>COMMUNIQUÉ DE PRESSE</w:t>
            </w:r>
          </w:p>
          <w:p w14:paraId="1DF0157F" w14:textId="0A427F21" w:rsidR="007809CB" w:rsidRDefault="007809CB" w:rsidP="007809CB">
            <w:pPr>
              <w:rPr>
                <w:rFonts w:ascii="Arial" w:hAnsi="Arial" w:cs="Arial"/>
                <w:b/>
                <w:bCs/>
                <w:sz w:val="20"/>
                <w:szCs w:val="20"/>
              </w:rPr>
            </w:pPr>
          </w:p>
          <w:p w14:paraId="3413CD8F" w14:textId="77777777" w:rsidR="00A23CBD" w:rsidRDefault="00A23CBD" w:rsidP="007809CB">
            <w:pPr>
              <w:rPr>
                <w:rFonts w:ascii="Arial" w:hAnsi="Arial" w:cs="Arial"/>
                <w:b/>
                <w:bCs/>
                <w:sz w:val="20"/>
                <w:szCs w:val="20"/>
              </w:rPr>
            </w:pPr>
          </w:p>
          <w:p w14:paraId="06B9FEBE" w14:textId="77777777" w:rsidR="00A23CBD" w:rsidRDefault="007809CB" w:rsidP="007809CB">
            <w:pPr>
              <w:jc w:val="center"/>
              <w:rPr>
                <w:rFonts w:ascii="Arial" w:hAnsi="Arial" w:cs="Arial"/>
                <w:b/>
                <w:bCs/>
                <w:sz w:val="24"/>
                <w:szCs w:val="24"/>
              </w:rPr>
            </w:pPr>
            <w:r w:rsidRPr="00A23CBD">
              <w:rPr>
                <w:rFonts w:ascii="Arial" w:hAnsi="Arial" w:cs="Arial"/>
                <w:b/>
                <w:bCs/>
                <w:sz w:val="24"/>
                <w:szCs w:val="24"/>
              </w:rPr>
              <w:t xml:space="preserve">Le Campus Biotech Digital s’allie aux écoles et organismes de formation </w:t>
            </w:r>
          </w:p>
          <w:p w14:paraId="1E757C62" w14:textId="3C3635C8" w:rsidR="007809CB" w:rsidRPr="00A23CBD" w:rsidRDefault="007809CB" w:rsidP="007809CB">
            <w:pPr>
              <w:jc w:val="center"/>
              <w:rPr>
                <w:rFonts w:ascii="Arial" w:hAnsi="Arial" w:cs="Arial"/>
                <w:sz w:val="24"/>
                <w:szCs w:val="24"/>
              </w:rPr>
            </w:pPr>
            <w:r w:rsidRPr="00A23CBD">
              <w:rPr>
                <w:rFonts w:ascii="Arial" w:hAnsi="Arial" w:cs="Arial"/>
                <w:b/>
                <w:bCs/>
                <w:sz w:val="24"/>
                <w:szCs w:val="24"/>
              </w:rPr>
              <w:t>en biotechnologie pour développer les talents de demain</w:t>
            </w:r>
            <w:r w:rsidRPr="00A23CBD">
              <w:rPr>
                <w:rFonts w:ascii="Arial" w:hAnsi="Arial" w:cs="Arial"/>
                <w:b/>
                <w:bCs/>
                <w:sz w:val="24"/>
                <w:szCs w:val="24"/>
              </w:rPr>
              <w:br/>
            </w:r>
            <w:r w:rsidRPr="00A23CBD">
              <w:rPr>
                <w:rFonts w:ascii="Arial" w:hAnsi="Arial" w:cs="Arial"/>
              </w:rPr>
              <w:t xml:space="preserve">Une alliance inédite au service de la filière de Bioproduction française </w:t>
            </w:r>
          </w:p>
          <w:p w14:paraId="1C318DE0" w14:textId="76C1C61B" w:rsidR="007809CB" w:rsidRDefault="007809CB" w:rsidP="007809CB">
            <w:pPr>
              <w:jc w:val="center"/>
              <w:rPr>
                <w:rFonts w:ascii="Arial" w:hAnsi="Arial" w:cs="Arial"/>
                <w:b/>
                <w:bCs/>
              </w:rPr>
            </w:pPr>
          </w:p>
          <w:p w14:paraId="02D9EDE0" w14:textId="77777777" w:rsidR="00A23CBD" w:rsidRPr="003D409A" w:rsidRDefault="00A23CBD" w:rsidP="007809CB">
            <w:pPr>
              <w:jc w:val="center"/>
              <w:rPr>
                <w:rFonts w:ascii="Arial" w:hAnsi="Arial" w:cs="Arial"/>
                <w:b/>
                <w:bCs/>
              </w:rPr>
            </w:pPr>
          </w:p>
          <w:p w14:paraId="341C8EC9" w14:textId="77777777" w:rsidR="007809CB" w:rsidRDefault="007809CB" w:rsidP="007809CB">
            <w:pPr>
              <w:jc w:val="both"/>
              <w:rPr>
                <w:rFonts w:ascii="Arial" w:hAnsi="Arial" w:cs="Arial"/>
                <w:b/>
                <w:bCs/>
                <w:sz w:val="20"/>
                <w:szCs w:val="20"/>
              </w:rPr>
            </w:pPr>
            <w:r w:rsidRPr="00242F8B">
              <w:rPr>
                <w:rFonts w:ascii="Arial" w:hAnsi="Arial" w:cs="Arial"/>
                <w:b/>
                <w:bCs/>
                <w:sz w:val="20"/>
                <w:szCs w:val="20"/>
              </w:rPr>
              <w:t>Le Campus Biotech Digital, piloté par un consortium industriel de premier plan (bioMérieux, Novasep, Sanofi, Servier), s’allie à un panel d’acteurs incontournable</w:t>
            </w:r>
            <w:r>
              <w:rPr>
                <w:rFonts w:ascii="Arial" w:hAnsi="Arial" w:cs="Arial"/>
                <w:b/>
                <w:bCs/>
                <w:sz w:val="20"/>
                <w:szCs w:val="20"/>
              </w:rPr>
              <w:t>s</w:t>
            </w:r>
            <w:r w:rsidRPr="00242F8B">
              <w:rPr>
                <w:rFonts w:ascii="Arial" w:hAnsi="Arial" w:cs="Arial"/>
                <w:b/>
                <w:bCs/>
                <w:sz w:val="20"/>
                <w:szCs w:val="20"/>
              </w:rPr>
              <w:t xml:space="preserve"> de la formation </w:t>
            </w:r>
            <w:r>
              <w:rPr>
                <w:rFonts w:ascii="Arial" w:hAnsi="Arial" w:cs="Arial"/>
                <w:b/>
                <w:bCs/>
                <w:sz w:val="20"/>
                <w:szCs w:val="20"/>
              </w:rPr>
              <w:t>en</w:t>
            </w:r>
            <w:r w:rsidRPr="00242F8B">
              <w:rPr>
                <w:rFonts w:ascii="Arial" w:hAnsi="Arial" w:cs="Arial"/>
                <w:b/>
                <w:bCs/>
                <w:sz w:val="20"/>
                <w:szCs w:val="20"/>
              </w:rPr>
              <w:t xml:space="preserve"> biotechnologie : </w:t>
            </w:r>
            <w:r>
              <w:rPr>
                <w:rFonts w:ascii="Arial" w:hAnsi="Arial" w:cs="Arial"/>
                <w:b/>
                <w:bCs/>
                <w:sz w:val="20"/>
                <w:szCs w:val="20"/>
              </w:rPr>
              <w:t>EASE,</w:t>
            </w:r>
            <w:r w:rsidRPr="001E733A">
              <w:rPr>
                <w:rFonts w:ascii="Arial" w:hAnsi="Arial" w:cs="Arial"/>
                <w:b/>
                <w:bCs/>
                <w:sz w:val="20"/>
                <w:szCs w:val="20"/>
              </w:rPr>
              <w:t xml:space="preserve"> </w:t>
            </w:r>
            <w:r w:rsidRPr="00FC5ED4">
              <w:rPr>
                <w:rFonts w:ascii="Arial" w:hAnsi="Arial" w:cs="Arial"/>
                <w:b/>
                <w:bCs/>
                <w:sz w:val="20"/>
                <w:szCs w:val="20"/>
              </w:rPr>
              <w:t>l’ENSTBB-Bordeaux INP</w:t>
            </w:r>
            <w:r>
              <w:rPr>
                <w:rFonts w:ascii="Arial" w:hAnsi="Arial" w:cs="Arial"/>
                <w:b/>
                <w:bCs/>
                <w:sz w:val="20"/>
                <w:szCs w:val="20"/>
              </w:rPr>
              <w:t xml:space="preserve">, l’ESTBB, IFIS, </w:t>
            </w:r>
            <w:r w:rsidRPr="00242F8B">
              <w:rPr>
                <w:rFonts w:ascii="Arial" w:hAnsi="Arial" w:cs="Arial"/>
                <w:b/>
                <w:bCs/>
                <w:sz w:val="20"/>
                <w:szCs w:val="20"/>
              </w:rPr>
              <w:t>le Groupe IMT, MabDesign, Sup’Biotech. Ces écoles et organismes de formation vont accompagner le Campus dans l’élaboration de ses parcours pédagogiques comprenant des modules de formation digitaux, à destination des salariés du secteur ou en reconversion, des étudiants et des demandeurs d’emploi.</w:t>
            </w:r>
          </w:p>
          <w:p w14:paraId="469E88A4" w14:textId="31C1DC20" w:rsidR="007809CB" w:rsidRDefault="007809CB" w:rsidP="007809CB">
            <w:pPr>
              <w:jc w:val="both"/>
              <w:rPr>
                <w:rFonts w:ascii="Arial" w:hAnsi="Arial" w:cs="Arial"/>
                <w:b/>
                <w:bCs/>
                <w:sz w:val="20"/>
                <w:szCs w:val="20"/>
              </w:rPr>
            </w:pPr>
          </w:p>
          <w:p w14:paraId="7526894B" w14:textId="77777777" w:rsidR="00A23CBD" w:rsidRPr="00242F8B" w:rsidRDefault="00A23CBD" w:rsidP="007809CB">
            <w:pPr>
              <w:jc w:val="both"/>
              <w:rPr>
                <w:rFonts w:ascii="Arial" w:hAnsi="Arial" w:cs="Arial"/>
                <w:b/>
                <w:bCs/>
                <w:sz w:val="20"/>
                <w:szCs w:val="20"/>
              </w:rPr>
            </w:pPr>
          </w:p>
          <w:p w14:paraId="4AECCA54" w14:textId="3C599120" w:rsidR="007809CB" w:rsidRDefault="007809CB" w:rsidP="007809CB">
            <w:pPr>
              <w:jc w:val="both"/>
              <w:rPr>
                <w:rFonts w:ascii="Arial" w:hAnsi="Arial" w:cs="Arial"/>
                <w:b/>
                <w:bCs/>
                <w:sz w:val="20"/>
                <w:szCs w:val="20"/>
              </w:rPr>
            </w:pPr>
            <w:r w:rsidRPr="00242F8B">
              <w:rPr>
                <w:rFonts w:ascii="Arial" w:hAnsi="Arial" w:cs="Arial"/>
                <w:b/>
                <w:bCs/>
                <w:sz w:val="20"/>
                <w:szCs w:val="20"/>
              </w:rPr>
              <w:t>Un écosystème fédéré pour accompagner le développement des compétences dans la biotechnologie</w:t>
            </w:r>
          </w:p>
          <w:p w14:paraId="532155D6" w14:textId="77777777" w:rsidR="00A23CBD" w:rsidRPr="00242F8B" w:rsidRDefault="00A23CBD" w:rsidP="007809CB">
            <w:pPr>
              <w:jc w:val="both"/>
              <w:rPr>
                <w:rFonts w:ascii="Arial" w:hAnsi="Arial" w:cs="Arial"/>
                <w:b/>
                <w:bCs/>
                <w:i/>
                <w:iCs/>
                <w:sz w:val="20"/>
                <w:szCs w:val="20"/>
              </w:rPr>
            </w:pPr>
          </w:p>
          <w:p w14:paraId="791ACEAE" w14:textId="0FB0BB8E" w:rsidR="007809CB" w:rsidRDefault="007809CB" w:rsidP="007809CB">
            <w:pPr>
              <w:jc w:val="both"/>
              <w:rPr>
                <w:rFonts w:ascii="Arial" w:hAnsi="Arial" w:cs="Arial"/>
                <w:sz w:val="20"/>
                <w:szCs w:val="20"/>
              </w:rPr>
            </w:pPr>
            <w:r>
              <w:rPr>
                <w:rStyle w:val="gmail-s1"/>
                <w:rFonts w:ascii="Arial" w:hAnsi="Arial" w:cs="Arial"/>
                <w:color w:val="000000"/>
                <w:sz w:val="20"/>
                <w:szCs w:val="20"/>
              </w:rPr>
              <w:t>Le Campus Biotech Digital a l’ambition de fédérer</w:t>
            </w:r>
            <w:r w:rsidRPr="00626081">
              <w:rPr>
                <w:rStyle w:val="gmail-s1"/>
                <w:rFonts w:ascii="Arial" w:hAnsi="Arial" w:cs="Arial"/>
                <w:color w:val="000000"/>
                <w:sz w:val="20"/>
                <w:szCs w:val="20"/>
              </w:rPr>
              <w:t xml:space="preserve"> des compétences et du savoir différencié en </w:t>
            </w:r>
            <w:r w:rsidR="00A23CBD">
              <w:rPr>
                <w:rStyle w:val="gmail-s1"/>
                <w:rFonts w:ascii="Arial" w:hAnsi="Arial" w:cs="Arial"/>
                <w:color w:val="000000"/>
                <w:sz w:val="20"/>
                <w:szCs w:val="20"/>
              </w:rPr>
              <w:t>b</w:t>
            </w:r>
            <w:r w:rsidRPr="00626081">
              <w:rPr>
                <w:rStyle w:val="gmail-s1"/>
                <w:rFonts w:ascii="Arial" w:hAnsi="Arial" w:cs="Arial"/>
                <w:color w:val="000000"/>
                <w:sz w:val="20"/>
                <w:szCs w:val="20"/>
              </w:rPr>
              <w:t xml:space="preserve">iotechnologie et </w:t>
            </w:r>
            <w:r>
              <w:rPr>
                <w:rStyle w:val="gmail-s1"/>
                <w:rFonts w:ascii="Arial" w:hAnsi="Arial" w:cs="Arial"/>
                <w:color w:val="000000"/>
                <w:sz w:val="20"/>
                <w:szCs w:val="20"/>
              </w:rPr>
              <w:t>d</w:t>
            </w:r>
            <w:r w:rsidRPr="00626081">
              <w:rPr>
                <w:rStyle w:val="gmail-s1"/>
                <w:rFonts w:ascii="Arial" w:hAnsi="Arial" w:cs="Arial"/>
                <w:color w:val="000000"/>
                <w:sz w:val="20"/>
                <w:szCs w:val="20"/>
              </w:rPr>
              <w:t>igital</w:t>
            </w:r>
            <w:r>
              <w:rPr>
                <w:rStyle w:val="gmail-s1"/>
                <w:rFonts w:ascii="Arial" w:hAnsi="Arial" w:cs="Arial"/>
                <w:color w:val="000000"/>
                <w:sz w:val="20"/>
                <w:szCs w:val="20"/>
              </w:rPr>
              <w:t>, en</w:t>
            </w:r>
            <w:r w:rsidRPr="00626081">
              <w:rPr>
                <w:rStyle w:val="gmail-s1"/>
                <w:rFonts w:ascii="Arial" w:hAnsi="Arial" w:cs="Arial"/>
                <w:color w:val="000000"/>
                <w:sz w:val="20"/>
                <w:szCs w:val="20"/>
              </w:rPr>
              <w:t xml:space="preserve"> renfor</w:t>
            </w:r>
            <w:r>
              <w:rPr>
                <w:rStyle w:val="gmail-s1"/>
                <w:rFonts w:ascii="Arial" w:hAnsi="Arial" w:cs="Arial"/>
                <w:color w:val="000000"/>
                <w:sz w:val="20"/>
                <w:szCs w:val="20"/>
              </w:rPr>
              <w:t>çant</w:t>
            </w:r>
            <w:r w:rsidRPr="00626081">
              <w:rPr>
                <w:rStyle w:val="gmail-s1"/>
                <w:rFonts w:ascii="Arial" w:hAnsi="Arial" w:cs="Arial"/>
                <w:color w:val="000000"/>
                <w:sz w:val="20"/>
                <w:szCs w:val="20"/>
              </w:rPr>
              <w:t xml:space="preserve"> la collaboration au sein de la filière</w:t>
            </w:r>
            <w:r>
              <w:rPr>
                <w:rStyle w:val="gmail-s1"/>
                <w:rFonts w:ascii="Arial" w:hAnsi="Arial" w:cs="Arial"/>
                <w:color w:val="000000"/>
                <w:sz w:val="20"/>
                <w:szCs w:val="20"/>
              </w:rPr>
              <w:t xml:space="preserve"> et</w:t>
            </w:r>
            <w:r w:rsidRPr="00626081">
              <w:rPr>
                <w:rStyle w:val="gmail-s1"/>
                <w:rFonts w:ascii="Arial" w:hAnsi="Arial" w:cs="Arial"/>
                <w:color w:val="000000"/>
                <w:sz w:val="20"/>
                <w:szCs w:val="20"/>
              </w:rPr>
              <w:t xml:space="preserve"> en proposant à un écosystème élargi des espaces de conception de contenus pédagogiques innovants et ouverts autour des besoins industriels. </w:t>
            </w:r>
            <w:r>
              <w:rPr>
                <w:rFonts w:ascii="Arial" w:hAnsi="Arial" w:cs="Arial"/>
                <w:sz w:val="20"/>
                <w:szCs w:val="20"/>
              </w:rPr>
              <w:t>Cette alliance, unique en son genre, matérialise la volonté des acteurs de s’unir pour structurer et accompagner le développement des compétences dans la biotechnologie.</w:t>
            </w:r>
          </w:p>
          <w:p w14:paraId="747C3CAE" w14:textId="77777777" w:rsidR="00A23CBD" w:rsidRPr="00242F8B" w:rsidRDefault="00A23CBD" w:rsidP="007809CB">
            <w:pPr>
              <w:jc w:val="both"/>
              <w:rPr>
                <w:rStyle w:val="gmail-s1"/>
                <w:rFonts w:ascii="Arial" w:hAnsi="Arial" w:cs="Arial"/>
                <w:sz w:val="20"/>
                <w:szCs w:val="20"/>
              </w:rPr>
            </w:pPr>
          </w:p>
          <w:p w14:paraId="1477E512" w14:textId="7E2FC917" w:rsidR="007809CB" w:rsidRPr="00846C54" w:rsidRDefault="007809CB" w:rsidP="007809CB">
            <w:pPr>
              <w:autoSpaceDE w:val="0"/>
              <w:autoSpaceDN w:val="0"/>
              <w:adjustRightInd w:val="0"/>
              <w:jc w:val="both"/>
              <w:rPr>
                <w:rStyle w:val="gmail-s1"/>
                <w:rFonts w:ascii="Arial" w:hAnsi="Arial" w:cs="Arial"/>
                <w:sz w:val="20"/>
                <w:szCs w:val="20"/>
              </w:rPr>
            </w:pPr>
            <w:r>
              <w:rPr>
                <w:rStyle w:val="gmail-s1"/>
                <w:rFonts w:ascii="Arial" w:hAnsi="Arial" w:cs="Arial"/>
                <w:i/>
                <w:iCs/>
                <w:sz w:val="20"/>
                <w:szCs w:val="20"/>
              </w:rPr>
              <w:t>« Cette alliance est unique au monde et symbolise l’essence même du Campus Biotech Digital : une symétrie des attentions pour soutenir les ambitions françaises et européennes en Bioproduction, pour la mise à disposition de solutions de santé innovantes et accessibles au plus grand nombre. Le Campus s’engage notamment à accompagner la mobilisation nationale pour l’emploi des jeunes : 1</w:t>
            </w:r>
            <w:r w:rsidR="00A23CBD">
              <w:rPr>
                <w:rStyle w:val="gmail-s1"/>
                <w:rFonts w:ascii="Arial" w:hAnsi="Arial" w:cs="Arial"/>
                <w:i/>
                <w:iCs/>
                <w:sz w:val="20"/>
                <w:szCs w:val="20"/>
              </w:rPr>
              <w:t> </w:t>
            </w:r>
            <w:r>
              <w:rPr>
                <w:rStyle w:val="gmail-s1"/>
                <w:rFonts w:ascii="Arial" w:hAnsi="Arial" w:cs="Arial"/>
                <w:i/>
                <w:iCs/>
                <w:sz w:val="20"/>
                <w:szCs w:val="20"/>
              </w:rPr>
              <w:t>jeune 1</w:t>
            </w:r>
            <w:r w:rsidR="00A23CBD">
              <w:rPr>
                <w:rStyle w:val="gmail-s1"/>
                <w:rFonts w:ascii="Arial" w:hAnsi="Arial" w:cs="Arial"/>
                <w:i/>
                <w:iCs/>
                <w:sz w:val="20"/>
                <w:szCs w:val="20"/>
              </w:rPr>
              <w:t> </w:t>
            </w:r>
            <w:r>
              <w:rPr>
                <w:rStyle w:val="gmail-s1"/>
                <w:rFonts w:ascii="Arial" w:hAnsi="Arial" w:cs="Arial"/>
                <w:i/>
                <w:iCs/>
                <w:sz w:val="20"/>
                <w:szCs w:val="20"/>
              </w:rPr>
              <w:t xml:space="preserve">solution » </w:t>
            </w:r>
            <w:r w:rsidRPr="00242F8B">
              <w:rPr>
                <w:rStyle w:val="gmail-s1"/>
                <w:rFonts w:ascii="Arial" w:hAnsi="Arial" w:cs="Arial"/>
                <w:sz w:val="20"/>
                <w:szCs w:val="20"/>
              </w:rPr>
              <w:t>annonce</w:t>
            </w:r>
            <w:r>
              <w:rPr>
                <w:rStyle w:val="gmail-s1"/>
                <w:rFonts w:ascii="Arial" w:hAnsi="Arial" w:cs="Arial"/>
                <w:i/>
                <w:iCs/>
                <w:sz w:val="20"/>
                <w:szCs w:val="20"/>
              </w:rPr>
              <w:t xml:space="preserve"> </w:t>
            </w:r>
            <w:r w:rsidRPr="00242F8B">
              <w:rPr>
                <w:rStyle w:val="gmail-s1"/>
                <w:rFonts w:ascii="Arial" w:hAnsi="Arial" w:cs="Arial"/>
                <w:sz w:val="20"/>
                <w:szCs w:val="20"/>
              </w:rPr>
              <w:t>Karim Vissandjee, Directeur Général du Campus Biotech Digital</w:t>
            </w:r>
            <w:r>
              <w:rPr>
                <w:rStyle w:val="gmail-s1"/>
                <w:rFonts w:ascii="Arial" w:hAnsi="Arial" w:cs="Arial"/>
                <w:sz w:val="20"/>
                <w:szCs w:val="20"/>
              </w:rPr>
              <w:t xml:space="preserve">. </w:t>
            </w:r>
          </w:p>
          <w:p w14:paraId="569BA0C1" w14:textId="77777777" w:rsidR="007809CB" w:rsidRPr="008A41C5" w:rsidRDefault="007809CB" w:rsidP="007809CB">
            <w:pPr>
              <w:jc w:val="both"/>
              <w:rPr>
                <w:rStyle w:val="gmail-s1"/>
                <w:rFonts w:ascii="Arial" w:hAnsi="Arial" w:cs="Arial"/>
                <w:color w:val="000000"/>
                <w:sz w:val="20"/>
                <w:szCs w:val="20"/>
              </w:rPr>
            </w:pPr>
          </w:p>
          <w:p w14:paraId="2B72F550" w14:textId="0A17F754" w:rsidR="007809CB" w:rsidRPr="00FD312D" w:rsidRDefault="007809CB" w:rsidP="007809CB">
            <w:pPr>
              <w:autoSpaceDE w:val="0"/>
              <w:autoSpaceDN w:val="0"/>
              <w:adjustRightInd w:val="0"/>
              <w:jc w:val="both"/>
              <w:rPr>
                <w:rFonts w:ascii="Arial" w:hAnsi="Arial" w:cs="Arial"/>
                <w:b/>
                <w:bCs/>
                <w:sz w:val="20"/>
                <w:szCs w:val="20"/>
              </w:rPr>
            </w:pPr>
            <w:r w:rsidRPr="00242F8B">
              <w:rPr>
                <w:rFonts w:ascii="Arial" w:hAnsi="Arial" w:cs="Arial"/>
                <w:b/>
                <w:bCs/>
                <w:sz w:val="20"/>
                <w:szCs w:val="20"/>
              </w:rPr>
              <w:t xml:space="preserve">Une </w:t>
            </w:r>
            <w:r>
              <w:rPr>
                <w:rFonts w:ascii="Arial" w:hAnsi="Arial" w:cs="Arial"/>
                <w:b/>
                <w:bCs/>
                <w:sz w:val="20"/>
                <w:szCs w:val="20"/>
              </w:rPr>
              <w:t>a</w:t>
            </w:r>
            <w:r w:rsidRPr="00242F8B">
              <w:rPr>
                <w:rFonts w:ascii="Arial" w:hAnsi="Arial" w:cs="Arial"/>
                <w:b/>
                <w:bCs/>
                <w:sz w:val="20"/>
                <w:szCs w:val="20"/>
              </w:rPr>
              <w:t xml:space="preserve">lliance historique pour soutenir l’ambition de la France : devenir un leader de la </w:t>
            </w:r>
            <w:r>
              <w:rPr>
                <w:rFonts w:ascii="Arial" w:hAnsi="Arial" w:cs="Arial"/>
                <w:b/>
                <w:bCs/>
                <w:sz w:val="20"/>
                <w:szCs w:val="20"/>
              </w:rPr>
              <w:t>B</w:t>
            </w:r>
            <w:r w:rsidRPr="00242F8B">
              <w:rPr>
                <w:rFonts w:ascii="Arial" w:hAnsi="Arial" w:cs="Arial"/>
                <w:b/>
                <w:bCs/>
                <w:sz w:val="20"/>
                <w:szCs w:val="20"/>
              </w:rPr>
              <w:t>ioproduction en Europe</w:t>
            </w:r>
          </w:p>
          <w:p w14:paraId="7439D8CC" w14:textId="77777777" w:rsidR="007809CB" w:rsidRDefault="007809CB" w:rsidP="007809CB">
            <w:pPr>
              <w:autoSpaceDE w:val="0"/>
              <w:autoSpaceDN w:val="0"/>
              <w:adjustRightInd w:val="0"/>
              <w:jc w:val="both"/>
              <w:rPr>
                <w:rFonts w:ascii="Arial" w:hAnsi="Arial" w:cs="Arial"/>
                <w:sz w:val="20"/>
                <w:szCs w:val="20"/>
              </w:rPr>
            </w:pPr>
          </w:p>
          <w:p w14:paraId="6A3F0909" w14:textId="60A9FAB4" w:rsidR="007809CB" w:rsidRDefault="007809CB" w:rsidP="007809CB">
            <w:pPr>
              <w:autoSpaceDE w:val="0"/>
              <w:autoSpaceDN w:val="0"/>
              <w:adjustRightInd w:val="0"/>
              <w:jc w:val="both"/>
              <w:rPr>
                <w:rFonts w:ascii="Arial" w:hAnsi="Arial" w:cs="Arial"/>
                <w:sz w:val="20"/>
                <w:szCs w:val="20"/>
              </w:rPr>
            </w:pPr>
            <w:r>
              <w:rPr>
                <w:rFonts w:ascii="Arial" w:hAnsi="Arial" w:cs="Arial"/>
                <w:sz w:val="20"/>
                <w:szCs w:val="20"/>
              </w:rPr>
              <w:t xml:space="preserve">Ce Campus digitalisé va proposer des parcours de formation aux modalités pédagogiques innovantes et immersives permettant d’optimiser l’acquisition des connaissances et l’ancrage mémoriel par les apprenants. Les Ecoles et Organismes de Formation accompagneront le Campus dans l’élaboration de ses parcours </w:t>
            </w:r>
            <w:r w:rsidR="00A23CBD">
              <w:rPr>
                <w:rFonts w:ascii="Arial" w:hAnsi="Arial" w:cs="Arial"/>
                <w:sz w:val="20"/>
                <w:szCs w:val="20"/>
              </w:rPr>
              <w:t>afin de</w:t>
            </w:r>
            <w:r>
              <w:rPr>
                <w:rFonts w:ascii="Arial" w:hAnsi="Arial" w:cs="Arial"/>
                <w:sz w:val="20"/>
                <w:szCs w:val="20"/>
              </w:rPr>
              <w:t xml:space="preserve"> relever le défi majeur</w:t>
            </w:r>
            <w:r w:rsidRPr="00B52D88">
              <w:rPr>
                <w:rFonts w:ascii="Arial" w:hAnsi="Arial" w:cs="Arial"/>
                <w:sz w:val="20"/>
                <w:szCs w:val="20"/>
              </w:rPr>
              <w:t xml:space="preserve"> de transformer l’enseignement et la formation</w:t>
            </w:r>
            <w:r>
              <w:rPr>
                <w:rFonts w:ascii="Arial" w:hAnsi="Arial" w:cs="Arial"/>
                <w:sz w:val="20"/>
                <w:szCs w:val="20"/>
              </w:rPr>
              <w:t xml:space="preserve"> pour </w:t>
            </w:r>
            <w:r w:rsidRPr="00B52D88">
              <w:rPr>
                <w:rFonts w:ascii="Arial" w:hAnsi="Arial" w:cs="Arial"/>
                <w:sz w:val="20"/>
                <w:szCs w:val="20"/>
              </w:rPr>
              <w:t>l</w:t>
            </w:r>
            <w:r>
              <w:rPr>
                <w:rFonts w:ascii="Arial" w:hAnsi="Arial" w:cs="Arial"/>
                <w:sz w:val="20"/>
                <w:szCs w:val="20"/>
              </w:rPr>
              <w:t xml:space="preserve">es </w:t>
            </w:r>
            <w:r w:rsidRPr="00B52D88">
              <w:rPr>
                <w:rFonts w:ascii="Arial" w:hAnsi="Arial" w:cs="Arial"/>
                <w:sz w:val="20"/>
                <w:szCs w:val="20"/>
              </w:rPr>
              <w:t>inscrire dans un monde d’innovation</w:t>
            </w:r>
            <w:r>
              <w:rPr>
                <w:rFonts w:ascii="Arial" w:hAnsi="Arial" w:cs="Arial"/>
                <w:sz w:val="20"/>
                <w:szCs w:val="20"/>
              </w:rPr>
              <w:t>.</w:t>
            </w:r>
          </w:p>
          <w:p w14:paraId="0F4A9316" w14:textId="77777777" w:rsidR="007809CB" w:rsidRDefault="007809CB" w:rsidP="00A23CBD">
            <w:pPr>
              <w:pStyle w:val="NormalWeb"/>
              <w:jc w:val="both"/>
              <w:rPr>
                <w:rFonts w:ascii="Arial" w:hAnsi="Arial" w:cs="Arial"/>
                <w:sz w:val="20"/>
                <w:szCs w:val="20"/>
              </w:rPr>
            </w:pPr>
            <w:r w:rsidRPr="00242F8B">
              <w:rPr>
                <w:rFonts w:ascii="Arial" w:hAnsi="Arial" w:cs="Arial"/>
                <w:i/>
                <w:iCs/>
                <w:sz w:val="20"/>
                <w:szCs w:val="20"/>
                <w:lang w:eastAsia="en-US"/>
              </w:rPr>
              <w:t>« Les Ecoles et les Organismes de Formation s'engagent au sein du Campus Digital Biotech, espace de création de valeurs partagées rapprochant acteurs industriels et de la formation, pour le rayonnement de la Bioproduction »</w:t>
            </w:r>
            <w:r>
              <w:rPr>
                <w:rFonts w:ascii="Arial" w:hAnsi="Arial" w:cs="Arial"/>
                <w:i/>
                <w:iCs/>
                <w:sz w:val="20"/>
                <w:szCs w:val="20"/>
                <w:lang w:eastAsia="en-US"/>
              </w:rPr>
              <w:t xml:space="preserve"> </w:t>
            </w:r>
            <w:r w:rsidRPr="00242F8B">
              <w:rPr>
                <w:rFonts w:ascii="Arial" w:hAnsi="Arial" w:cs="Arial"/>
                <w:sz w:val="20"/>
                <w:szCs w:val="20"/>
                <w:lang w:eastAsia="en-US"/>
              </w:rPr>
              <w:t>affirment collectivement les acteurs pédagogiques.</w:t>
            </w:r>
          </w:p>
          <w:p w14:paraId="3AF96D49" w14:textId="351037B2" w:rsidR="007809CB" w:rsidRDefault="007809CB" w:rsidP="007809CB">
            <w:pPr>
              <w:jc w:val="both"/>
              <w:rPr>
                <w:rStyle w:val="gmail-s1"/>
                <w:rFonts w:ascii="Arial" w:hAnsi="Arial" w:cs="Arial"/>
                <w:color w:val="000000"/>
                <w:sz w:val="20"/>
                <w:szCs w:val="20"/>
              </w:rPr>
            </w:pPr>
            <w:r>
              <w:rPr>
                <w:rFonts w:ascii="Arial" w:hAnsi="Arial" w:cs="Arial"/>
                <w:sz w:val="20"/>
                <w:szCs w:val="20"/>
              </w:rPr>
              <w:t xml:space="preserve">A ce stade, un ensemble de 13 parcours pédagogiques </w:t>
            </w:r>
            <w:r>
              <w:rPr>
                <w:rStyle w:val="gmail-s1"/>
                <w:rFonts w:ascii="Arial" w:hAnsi="Arial" w:cs="Arial"/>
                <w:color w:val="000000"/>
                <w:sz w:val="20"/>
                <w:szCs w:val="20"/>
              </w:rPr>
              <w:t>c</w:t>
            </w:r>
            <w:r w:rsidRPr="008A41C5">
              <w:rPr>
                <w:rStyle w:val="gmail-s1"/>
                <w:rFonts w:ascii="Arial" w:hAnsi="Arial" w:cs="Arial"/>
                <w:color w:val="000000"/>
                <w:sz w:val="20"/>
                <w:szCs w:val="20"/>
              </w:rPr>
              <w:t xml:space="preserve">ouvrant l’entièreté de la chaîne de </w:t>
            </w:r>
            <w:r>
              <w:rPr>
                <w:rStyle w:val="gmail-s1"/>
                <w:rFonts w:ascii="Arial" w:hAnsi="Arial" w:cs="Arial"/>
                <w:color w:val="000000"/>
                <w:sz w:val="20"/>
                <w:szCs w:val="20"/>
              </w:rPr>
              <w:t>B</w:t>
            </w:r>
            <w:r w:rsidRPr="008A41C5">
              <w:rPr>
                <w:rStyle w:val="gmail-s1"/>
                <w:rFonts w:ascii="Arial" w:hAnsi="Arial" w:cs="Arial"/>
                <w:color w:val="000000"/>
                <w:sz w:val="20"/>
                <w:szCs w:val="20"/>
              </w:rPr>
              <w:t>ioproduction</w:t>
            </w:r>
            <w:r>
              <w:rPr>
                <w:rStyle w:val="gmail-s1"/>
                <w:rFonts w:ascii="Arial" w:hAnsi="Arial" w:cs="Arial"/>
                <w:color w:val="000000"/>
                <w:sz w:val="20"/>
                <w:szCs w:val="20"/>
              </w:rPr>
              <w:t xml:space="preserve"> ont été identifiés.</w:t>
            </w:r>
            <w:r w:rsidRPr="008A41C5">
              <w:rPr>
                <w:rStyle w:val="gmail-s1"/>
                <w:rFonts w:ascii="Arial" w:hAnsi="Arial" w:cs="Arial"/>
                <w:color w:val="000000"/>
                <w:sz w:val="20"/>
                <w:szCs w:val="20"/>
              </w:rPr>
              <w:t xml:space="preserve"> </w:t>
            </w:r>
            <w:r>
              <w:rPr>
                <w:rStyle w:val="gmail-s1"/>
                <w:rFonts w:ascii="Arial" w:hAnsi="Arial" w:cs="Arial"/>
                <w:color w:val="000000"/>
                <w:sz w:val="20"/>
                <w:szCs w:val="20"/>
              </w:rPr>
              <w:t>D</w:t>
            </w:r>
            <w:r w:rsidRPr="008A41C5">
              <w:rPr>
                <w:rStyle w:val="gmail-s1"/>
                <w:rFonts w:ascii="Arial" w:hAnsi="Arial" w:cs="Arial"/>
                <w:color w:val="000000"/>
                <w:sz w:val="20"/>
                <w:szCs w:val="20"/>
              </w:rPr>
              <w:t xml:space="preserve">e la conception à la délivrance du produit au patient, le Campus a recours aux différents outils numériques </w:t>
            </w:r>
            <w:r>
              <w:rPr>
                <w:rStyle w:val="gmail-s1"/>
                <w:rFonts w:ascii="Arial" w:hAnsi="Arial" w:cs="Arial"/>
                <w:color w:val="000000"/>
                <w:sz w:val="20"/>
                <w:szCs w:val="20"/>
              </w:rPr>
              <w:t xml:space="preserve">reproduisant les éléments essentiels de la production </w:t>
            </w:r>
            <w:r w:rsidRPr="008A41C5">
              <w:rPr>
                <w:rStyle w:val="gmail-s1"/>
                <w:rFonts w:ascii="Arial" w:hAnsi="Arial" w:cs="Arial"/>
                <w:color w:val="000000"/>
                <w:sz w:val="20"/>
                <w:szCs w:val="20"/>
              </w:rPr>
              <w:t>(</w:t>
            </w:r>
            <w:r>
              <w:rPr>
                <w:rStyle w:val="gmail-s1"/>
                <w:rFonts w:ascii="Arial" w:hAnsi="Arial" w:cs="Arial"/>
                <w:color w:val="000000"/>
                <w:sz w:val="20"/>
                <w:szCs w:val="20"/>
              </w:rPr>
              <w:t>j</w:t>
            </w:r>
            <w:r w:rsidRPr="00D47706">
              <w:rPr>
                <w:rStyle w:val="gmail-s1"/>
                <w:rFonts w:ascii="Arial" w:hAnsi="Arial" w:cs="Arial"/>
                <w:color w:val="000000"/>
                <w:sz w:val="20"/>
                <w:szCs w:val="20"/>
              </w:rPr>
              <w:t>umeaux numériques,</w:t>
            </w:r>
            <w:r>
              <w:rPr>
                <w:rStyle w:val="gmail-s1"/>
                <w:rFonts w:ascii="Arial" w:hAnsi="Arial" w:cs="Arial"/>
                <w:color w:val="000000"/>
                <w:sz w:val="20"/>
                <w:szCs w:val="20"/>
              </w:rPr>
              <w:t xml:space="preserve"> </w:t>
            </w:r>
            <w:r w:rsidRPr="00D47706">
              <w:rPr>
                <w:rStyle w:val="gmail-s1"/>
                <w:rFonts w:ascii="Arial" w:hAnsi="Arial" w:cs="Arial"/>
                <w:i/>
                <w:iCs/>
                <w:color w:val="000000"/>
                <w:sz w:val="20"/>
                <w:szCs w:val="20"/>
              </w:rPr>
              <w:t>serious game</w:t>
            </w:r>
            <w:r>
              <w:rPr>
                <w:rStyle w:val="gmail-s1"/>
                <w:rFonts w:ascii="Arial" w:hAnsi="Arial" w:cs="Arial"/>
                <w:color w:val="000000"/>
                <w:sz w:val="20"/>
                <w:szCs w:val="20"/>
              </w:rPr>
              <w:t xml:space="preserve">, réalité immersive, </w:t>
            </w:r>
            <w:r w:rsidRPr="00D47706">
              <w:rPr>
                <w:rStyle w:val="gmail-s1"/>
                <w:rFonts w:ascii="Arial" w:hAnsi="Arial" w:cs="Arial"/>
                <w:color w:val="000000"/>
                <w:sz w:val="20"/>
                <w:szCs w:val="20"/>
              </w:rPr>
              <w:t>réalité virtuelle,</w:t>
            </w:r>
            <w:r>
              <w:rPr>
                <w:rStyle w:val="gmail-s1"/>
                <w:rFonts w:ascii="Arial" w:hAnsi="Arial" w:cs="Arial"/>
                <w:color w:val="000000"/>
                <w:sz w:val="20"/>
                <w:szCs w:val="20"/>
              </w:rPr>
              <w:t xml:space="preserve"> </w:t>
            </w:r>
            <w:r w:rsidRPr="00D47706">
              <w:rPr>
                <w:rStyle w:val="gmail-s1"/>
                <w:rFonts w:ascii="Arial" w:hAnsi="Arial" w:cs="Arial"/>
                <w:color w:val="000000"/>
                <w:sz w:val="20"/>
                <w:szCs w:val="20"/>
              </w:rPr>
              <w:t>réalité augmentée</w:t>
            </w:r>
            <w:r w:rsidRPr="008A41C5">
              <w:rPr>
                <w:rStyle w:val="gmail-s1"/>
                <w:rFonts w:ascii="Arial" w:hAnsi="Arial" w:cs="Arial"/>
                <w:color w:val="000000"/>
                <w:sz w:val="20"/>
                <w:szCs w:val="20"/>
              </w:rPr>
              <w:t xml:space="preserve">) </w:t>
            </w:r>
            <w:r>
              <w:rPr>
                <w:rStyle w:val="gmail-s1"/>
                <w:rFonts w:ascii="Arial" w:hAnsi="Arial" w:cs="Arial"/>
                <w:color w:val="000000"/>
                <w:sz w:val="20"/>
                <w:szCs w:val="20"/>
              </w:rPr>
              <w:t xml:space="preserve">et approches cognitives soutenues par l’intelligence artificielle </w:t>
            </w:r>
            <w:r w:rsidRPr="008A41C5">
              <w:rPr>
                <w:rStyle w:val="gmail-s1"/>
                <w:rFonts w:ascii="Arial" w:hAnsi="Arial" w:cs="Arial"/>
                <w:color w:val="000000"/>
                <w:sz w:val="20"/>
                <w:szCs w:val="20"/>
              </w:rPr>
              <w:t>pour favoriser la compréhension des processus</w:t>
            </w:r>
            <w:r>
              <w:rPr>
                <w:rStyle w:val="gmail-s1"/>
                <w:rFonts w:ascii="Arial" w:hAnsi="Arial" w:cs="Arial"/>
                <w:color w:val="000000"/>
                <w:sz w:val="20"/>
                <w:szCs w:val="20"/>
              </w:rPr>
              <w:t xml:space="preserve"> et </w:t>
            </w:r>
            <w:r w:rsidRPr="008A41C5">
              <w:rPr>
                <w:rStyle w:val="gmail-s1"/>
                <w:rFonts w:ascii="Arial" w:hAnsi="Arial" w:cs="Arial"/>
                <w:color w:val="000000"/>
                <w:sz w:val="20"/>
                <w:szCs w:val="20"/>
              </w:rPr>
              <w:t>l’appropriation des pratiques professionnelles</w:t>
            </w:r>
            <w:r>
              <w:rPr>
                <w:rStyle w:val="gmail-s1"/>
                <w:rFonts w:ascii="Arial" w:hAnsi="Arial" w:cs="Arial"/>
                <w:color w:val="000000"/>
                <w:sz w:val="20"/>
                <w:szCs w:val="20"/>
              </w:rPr>
              <w:t>.</w:t>
            </w:r>
          </w:p>
          <w:p w14:paraId="16227E66" w14:textId="77777777" w:rsidR="007809CB" w:rsidRDefault="007809CB" w:rsidP="007809CB">
            <w:pPr>
              <w:jc w:val="both"/>
              <w:rPr>
                <w:rStyle w:val="gmail-s1"/>
                <w:rFonts w:ascii="Arial" w:hAnsi="Arial" w:cs="Arial"/>
                <w:color w:val="000000"/>
                <w:sz w:val="20"/>
                <w:szCs w:val="20"/>
              </w:rPr>
            </w:pPr>
          </w:p>
          <w:p w14:paraId="2B5D34DD" w14:textId="77777777" w:rsidR="007809CB" w:rsidRDefault="007809CB" w:rsidP="007809CB">
            <w:pPr>
              <w:jc w:val="both"/>
              <w:rPr>
                <w:rStyle w:val="gmail-s1"/>
                <w:rFonts w:ascii="Arial" w:hAnsi="Arial" w:cs="Arial"/>
                <w:color w:val="000000"/>
                <w:sz w:val="20"/>
                <w:szCs w:val="20"/>
              </w:rPr>
            </w:pPr>
            <w:r w:rsidRPr="00242F8B">
              <w:rPr>
                <w:rStyle w:val="gmail-s1"/>
                <w:rFonts w:ascii="Arial" w:hAnsi="Arial" w:cs="Arial"/>
                <w:color w:val="000000"/>
                <w:sz w:val="20"/>
                <w:szCs w:val="20"/>
              </w:rPr>
              <w:lastRenderedPageBreak/>
              <w:t>« </w:t>
            </w:r>
            <w:r w:rsidRPr="00242F8B">
              <w:rPr>
                <w:rStyle w:val="gmail-s1"/>
                <w:rFonts w:ascii="Arial" w:hAnsi="Arial" w:cs="Arial"/>
                <w:i/>
                <w:iCs/>
                <w:color w:val="000000"/>
                <w:sz w:val="20"/>
                <w:szCs w:val="20"/>
              </w:rPr>
              <w:t>Le Campus Biotech Digital, les O</w:t>
            </w:r>
            <w:r>
              <w:rPr>
                <w:rStyle w:val="gmail-s1"/>
                <w:rFonts w:ascii="Arial" w:hAnsi="Arial" w:cs="Arial"/>
                <w:i/>
                <w:iCs/>
                <w:color w:val="000000"/>
                <w:sz w:val="20"/>
                <w:szCs w:val="20"/>
              </w:rPr>
              <w:t xml:space="preserve">rganismes de </w:t>
            </w:r>
            <w:r w:rsidRPr="00242F8B">
              <w:rPr>
                <w:rStyle w:val="gmail-s1"/>
                <w:rFonts w:ascii="Arial" w:hAnsi="Arial" w:cs="Arial"/>
                <w:i/>
                <w:iCs/>
                <w:color w:val="000000"/>
                <w:sz w:val="20"/>
                <w:szCs w:val="20"/>
              </w:rPr>
              <w:t>F</w:t>
            </w:r>
            <w:r>
              <w:rPr>
                <w:rStyle w:val="gmail-s1"/>
                <w:rFonts w:ascii="Arial" w:hAnsi="Arial" w:cs="Arial"/>
                <w:i/>
                <w:iCs/>
                <w:color w:val="000000"/>
                <w:sz w:val="20"/>
                <w:szCs w:val="20"/>
              </w:rPr>
              <w:t>ormation</w:t>
            </w:r>
            <w:r w:rsidRPr="00242F8B">
              <w:rPr>
                <w:rStyle w:val="gmail-s1"/>
                <w:rFonts w:ascii="Arial" w:hAnsi="Arial" w:cs="Arial"/>
                <w:i/>
                <w:iCs/>
                <w:color w:val="000000"/>
                <w:sz w:val="20"/>
                <w:szCs w:val="20"/>
              </w:rPr>
              <w:t xml:space="preserve">s et </w:t>
            </w:r>
            <w:r>
              <w:rPr>
                <w:rStyle w:val="gmail-s1"/>
                <w:rFonts w:ascii="Arial" w:hAnsi="Arial" w:cs="Arial"/>
                <w:i/>
                <w:iCs/>
                <w:color w:val="000000"/>
                <w:sz w:val="20"/>
                <w:szCs w:val="20"/>
              </w:rPr>
              <w:t>E</w:t>
            </w:r>
            <w:r w:rsidRPr="00242F8B">
              <w:rPr>
                <w:rStyle w:val="gmail-s1"/>
                <w:rFonts w:ascii="Arial" w:hAnsi="Arial" w:cs="Arial"/>
                <w:i/>
                <w:iCs/>
                <w:color w:val="000000"/>
                <w:sz w:val="20"/>
                <w:szCs w:val="20"/>
              </w:rPr>
              <w:t>coles contribuent à préparer les professionnels et futurs professionnels de la pharma aux enjeux de leur</w:t>
            </w:r>
            <w:r>
              <w:rPr>
                <w:rStyle w:val="gmail-s1"/>
                <w:rFonts w:ascii="Arial" w:hAnsi="Arial" w:cs="Arial"/>
                <w:i/>
                <w:iCs/>
                <w:color w:val="000000"/>
                <w:sz w:val="20"/>
                <w:szCs w:val="20"/>
              </w:rPr>
              <w:t>s</w:t>
            </w:r>
            <w:r w:rsidRPr="00242F8B">
              <w:rPr>
                <w:rStyle w:val="gmail-s1"/>
                <w:rFonts w:ascii="Arial" w:hAnsi="Arial" w:cs="Arial"/>
                <w:i/>
                <w:iCs/>
                <w:color w:val="000000"/>
                <w:sz w:val="20"/>
                <w:szCs w:val="20"/>
              </w:rPr>
              <w:t xml:space="preserve"> métier</w:t>
            </w:r>
            <w:r>
              <w:rPr>
                <w:rStyle w:val="gmail-s1"/>
                <w:rFonts w:ascii="Arial" w:hAnsi="Arial" w:cs="Arial"/>
                <w:i/>
                <w:iCs/>
                <w:color w:val="000000"/>
                <w:sz w:val="20"/>
                <w:szCs w:val="20"/>
              </w:rPr>
              <w:t>s</w:t>
            </w:r>
            <w:r w:rsidRPr="00242F8B">
              <w:rPr>
                <w:rStyle w:val="gmail-s1"/>
                <w:rFonts w:ascii="Arial" w:hAnsi="Arial" w:cs="Arial"/>
                <w:i/>
                <w:iCs/>
                <w:color w:val="000000"/>
                <w:sz w:val="20"/>
                <w:szCs w:val="20"/>
              </w:rPr>
              <w:t xml:space="preserve"> et à leur donner une ouverture sur la </w:t>
            </w:r>
            <w:r>
              <w:rPr>
                <w:rStyle w:val="gmail-s1"/>
                <w:rFonts w:ascii="Arial" w:hAnsi="Arial" w:cs="Arial"/>
                <w:i/>
                <w:iCs/>
                <w:color w:val="000000"/>
                <w:sz w:val="20"/>
                <w:szCs w:val="20"/>
              </w:rPr>
              <w:t>B</w:t>
            </w:r>
            <w:r w:rsidRPr="00242F8B">
              <w:rPr>
                <w:rStyle w:val="gmail-s1"/>
                <w:rFonts w:ascii="Arial" w:hAnsi="Arial" w:cs="Arial"/>
                <w:i/>
                <w:iCs/>
                <w:color w:val="000000"/>
                <w:sz w:val="20"/>
                <w:szCs w:val="20"/>
              </w:rPr>
              <w:t>ioproduction</w:t>
            </w:r>
            <w:r w:rsidRPr="00242F8B">
              <w:rPr>
                <w:rStyle w:val="gmail-s1"/>
                <w:rFonts w:ascii="Arial" w:hAnsi="Arial" w:cs="Arial"/>
                <w:color w:val="000000"/>
                <w:sz w:val="20"/>
                <w:szCs w:val="20"/>
              </w:rPr>
              <w:t> »</w:t>
            </w:r>
            <w:r>
              <w:rPr>
                <w:rStyle w:val="gmail-s1"/>
                <w:rFonts w:ascii="Arial" w:hAnsi="Arial" w:cs="Arial"/>
                <w:color w:val="000000"/>
                <w:sz w:val="20"/>
                <w:szCs w:val="20"/>
              </w:rPr>
              <w:t>.</w:t>
            </w:r>
          </w:p>
          <w:p w14:paraId="6CFF5FC1" w14:textId="669CE07E" w:rsidR="00A23CBD" w:rsidRDefault="00A23CBD" w:rsidP="007809CB">
            <w:pPr>
              <w:jc w:val="both"/>
              <w:rPr>
                <w:rFonts w:ascii="Arial" w:hAnsi="Arial" w:cs="Arial"/>
                <w:noProof/>
                <w:sz w:val="20"/>
                <w:szCs w:val="20"/>
              </w:rPr>
            </w:pPr>
          </w:p>
        </w:tc>
      </w:tr>
      <w:tr w:rsidR="007809CB" w14:paraId="7C9CA538" w14:textId="77777777" w:rsidTr="007809CB">
        <w:trPr>
          <w:jc w:val="center"/>
        </w:trPr>
        <w:tc>
          <w:tcPr>
            <w:tcW w:w="1263" w:type="dxa"/>
            <w:vAlign w:val="center"/>
          </w:tcPr>
          <w:p w14:paraId="1745C653" w14:textId="6A0A8EB1" w:rsidR="007809CB" w:rsidRDefault="007809CB" w:rsidP="007809CB">
            <w:pPr>
              <w:jc w:val="center"/>
              <w:rPr>
                <w:rFonts w:ascii="Arial" w:hAnsi="Arial" w:cs="Arial"/>
                <w:sz w:val="20"/>
                <w:szCs w:val="20"/>
              </w:rPr>
            </w:pPr>
            <w:r>
              <w:rPr>
                <w:rFonts w:ascii="Arial" w:hAnsi="Arial" w:cs="Arial"/>
                <w:noProof/>
                <w:sz w:val="20"/>
                <w:szCs w:val="20"/>
              </w:rPr>
              <w:lastRenderedPageBreak/>
              <w:drawing>
                <wp:anchor distT="0" distB="0" distL="114300" distR="114300" simplePos="0" relativeHeight="251693056" behindDoc="0" locked="0" layoutInCell="1" allowOverlap="1" wp14:anchorId="321106ED" wp14:editId="524377C8">
                  <wp:simplePos x="0" y="0"/>
                  <wp:positionH relativeFrom="column">
                    <wp:posOffset>0</wp:posOffset>
                  </wp:positionH>
                  <wp:positionV relativeFrom="paragraph">
                    <wp:posOffset>146050</wp:posOffset>
                  </wp:positionV>
                  <wp:extent cx="688340" cy="387350"/>
                  <wp:effectExtent l="0" t="0" r="0" b="0"/>
                  <wp:wrapSquare wrapText="bothSides"/>
                  <wp:docPr id="36" name="Image 3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340" cy="387350"/>
                          </a:xfrm>
                          <a:prstGeom prst="rect">
                            <a:avLst/>
                          </a:prstGeom>
                        </pic:spPr>
                      </pic:pic>
                    </a:graphicData>
                  </a:graphic>
                  <wp14:sizeRelH relativeFrom="margin">
                    <wp14:pctWidth>0</wp14:pctWidth>
                  </wp14:sizeRelH>
                  <wp14:sizeRelV relativeFrom="margin">
                    <wp14:pctHeight>0</wp14:pctHeight>
                  </wp14:sizeRelV>
                </wp:anchor>
              </w:drawing>
            </w:r>
          </w:p>
        </w:tc>
        <w:tc>
          <w:tcPr>
            <w:tcW w:w="1219" w:type="dxa"/>
            <w:gridSpan w:val="2"/>
            <w:vAlign w:val="center"/>
          </w:tcPr>
          <w:p w14:paraId="6AD612D3" w14:textId="2D2B1328" w:rsidR="007809CB" w:rsidRDefault="007809CB" w:rsidP="007809CB">
            <w:pPr>
              <w:jc w:val="center"/>
              <w:rPr>
                <w:rFonts w:ascii="Arial" w:hAnsi="Arial" w:cs="Arial"/>
                <w:sz w:val="20"/>
                <w:szCs w:val="20"/>
              </w:rPr>
            </w:pPr>
            <w:r>
              <w:rPr>
                <w:rFonts w:ascii="Arial" w:hAnsi="Arial" w:cs="Arial"/>
                <w:noProof/>
                <w:sz w:val="20"/>
                <w:szCs w:val="20"/>
              </w:rPr>
              <w:drawing>
                <wp:anchor distT="0" distB="0" distL="114300" distR="114300" simplePos="0" relativeHeight="251695104" behindDoc="0" locked="0" layoutInCell="1" allowOverlap="1" wp14:anchorId="688ABF85" wp14:editId="2DE230ED">
                  <wp:simplePos x="0" y="0"/>
                  <wp:positionH relativeFrom="column">
                    <wp:posOffset>0</wp:posOffset>
                  </wp:positionH>
                  <wp:positionV relativeFrom="paragraph">
                    <wp:posOffset>149225</wp:posOffset>
                  </wp:positionV>
                  <wp:extent cx="654050" cy="463550"/>
                  <wp:effectExtent l="0" t="0" r="0" b="0"/>
                  <wp:wrapTopAndBottom/>
                  <wp:docPr id="37" name="Image 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463550"/>
                          </a:xfrm>
                          <a:prstGeom prst="rect">
                            <a:avLst/>
                          </a:prstGeom>
                        </pic:spPr>
                      </pic:pic>
                    </a:graphicData>
                  </a:graphic>
                  <wp14:sizeRelH relativeFrom="margin">
                    <wp14:pctWidth>0</wp14:pctWidth>
                  </wp14:sizeRelH>
                  <wp14:sizeRelV relativeFrom="margin">
                    <wp14:pctHeight>0</wp14:pctHeight>
                  </wp14:sizeRelV>
                </wp:anchor>
              </w:drawing>
            </w:r>
          </w:p>
        </w:tc>
        <w:tc>
          <w:tcPr>
            <w:tcW w:w="1237" w:type="dxa"/>
            <w:vAlign w:val="center"/>
          </w:tcPr>
          <w:p w14:paraId="319D1D18" w14:textId="7BD262F7" w:rsidR="007809CB" w:rsidRDefault="007809CB" w:rsidP="007809CB">
            <w:pPr>
              <w:jc w:val="center"/>
              <w:rPr>
                <w:rFonts w:ascii="Arial" w:hAnsi="Arial" w:cs="Arial"/>
                <w:sz w:val="20"/>
                <w:szCs w:val="20"/>
              </w:rPr>
            </w:pPr>
            <w:r>
              <w:rPr>
                <w:rFonts w:ascii="Arial" w:hAnsi="Arial" w:cs="Arial"/>
                <w:noProof/>
                <w:color w:val="000000"/>
                <w:sz w:val="20"/>
                <w:szCs w:val="20"/>
              </w:rPr>
              <w:drawing>
                <wp:anchor distT="0" distB="0" distL="114300" distR="114300" simplePos="0" relativeHeight="251697152" behindDoc="0" locked="0" layoutInCell="1" allowOverlap="1" wp14:anchorId="512B9E62" wp14:editId="1167EACC">
                  <wp:simplePos x="0" y="0"/>
                  <wp:positionH relativeFrom="column">
                    <wp:posOffset>3175</wp:posOffset>
                  </wp:positionH>
                  <wp:positionV relativeFrom="paragraph">
                    <wp:posOffset>149225</wp:posOffset>
                  </wp:positionV>
                  <wp:extent cx="669290" cy="241300"/>
                  <wp:effectExtent l="0" t="0" r="0" b="6350"/>
                  <wp:wrapTopAndBottom/>
                  <wp:docPr id="38" name="Image 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290" cy="24130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gridSpan w:val="2"/>
            <w:vAlign w:val="center"/>
          </w:tcPr>
          <w:p w14:paraId="7371DFAE" w14:textId="7E0ECF71" w:rsidR="007809CB" w:rsidRDefault="007809CB" w:rsidP="007809CB">
            <w:pPr>
              <w:jc w:val="center"/>
              <w:rPr>
                <w:rFonts w:ascii="Arial" w:hAnsi="Arial" w:cs="Arial"/>
                <w:sz w:val="20"/>
                <w:szCs w:val="20"/>
              </w:rPr>
            </w:pPr>
            <w:r>
              <w:rPr>
                <w:rFonts w:ascii="Arial" w:hAnsi="Arial" w:cs="Arial"/>
                <w:noProof/>
                <w:sz w:val="20"/>
                <w:szCs w:val="20"/>
              </w:rPr>
              <w:drawing>
                <wp:anchor distT="0" distB="0" distL="114300" distR="114300" simplePos="0" relativeHeight="251699200" behindDoc="0" locked="0" layoutInCell="1" allowOverlap="1" wp14:anchorId="19390B2E" wp14:editId="3C6E9131">
                  <wp:simplePos x="0" y="0"/>
                  <wp:positionH relativeFrom="column">
                    <wp:posOffset>635</wp:posOffset>
                  </wp:positionH>
                  <wp:positionV relativeFrom="paragraph">
                    <wp:posOffset>149225</wp:posOffset>
                  </wp:positionV>
                  <wp:extent cx="692150" cy="692150"/>
                  <wp:effectExtent l="0" t="0" r="0" b="0"/>
                  <wp:wrapTopAndBottom/>
                  <wp:docPr id="39" name="Image 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p>
        </w:tc>
        <w:tc>
          <w:tcPr>
            <w:tcW w:w="1433" w:type="dxa"/>
            <w:vAlign w:val="center"/>
          </w:tcPr>
          <w:p w14:paraId="729F1EBA" w14:textId="496531DD" w:rsidR="007809CB" w:rsidRDefault="007809CB" w:rsidP="007809CB">
            <w:pPr>
              <w:jc w:val="center"/>
              <w:rPr>
                <w:rFonts w:ascii="Arial" w:hAnsi="Arial" w:cs="Arial"/>
                <w:sz w:val="20"/>
                <w:szCs w:val="20"/>
              </w:rPr>
            </w:pPr>
            <w:r>
              <w:rPr>
                <w:rFonts w:ascii="Arial" w:hAnsi="Arial" w:cs="Arial"/>
                <w:noProof/>
                <w:sz w:val="20"/>
                <w:szCs w:val="20"/>
              </w:rPr>
              <w:drawing>
                <wp:anchor distT="0" distB="0" distL="114300" distR="114300" simplePos="0" relativeHeight="251701248" behindDoc="0" locked="0" layoutInCell="1" allowOverlap="1" wp14:anchorId="4A36CCB1" wp14:editId="3357813C">
                  <wp:simplePos x="0" y="0"/>
                  <wp:positionH relativeFrom="margin">
                    <wp:posOffset>3175</wp:posOffset>
                  </wp:positionH>
                  <wp:positionV relativeFrom="paragraph">
                    <wp:posOffset>149225</wp:posOffset>
                  </wp:positionV>
                  <wp:extent cx="798195" cy="374650"/>
                  <wp:effectExtent l="0" t="0" r="1905" b="6350"/>
                  <wp:wrapTopAndBottom/>
                  <wp:docPr id="40" name="Image 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8195" cy="374650"/>
                          </a:xfrm>
                          <a:prstGeom prst="rect">
                            <a:avLst/>
                          </a:prstGeom>
                        </pic:spPr>
                      </pic:pic>
                    </a:graphicData>
                  </a:graphic>
                  <wp14:sizeRelH relativeFrom="margin">
                    <wp14:pctWidth>0</wp14:pctWidth>
                  </wp14:sizeRelH>
                  <wp14:sizeRelV relativeFrom="margin">
                    <wp14:pctHeight>0</wp14:pctHeight>
                  </wp14:sizeRelV>
                </wp:anchor>
              </w:drawing>
            </w:r>
          </w:p>
        </w:tc>
        <w:tc>
          <w:tcPr>
            <w:tcW w:w="1415" w:type="dxa"/>
            <w:gridSpan w:val="2"/>
            <w:vAlign w:val="center"/>
          </w:tcPr>
          <w:p w14:paraId="5D6AC3F9" w14:textId="559C26DF" w:rsidR="007809CB" w:rsidRDefault="007809CB" w:rsidP="007809CB">
            <w:pPr>
              <w:jc w:val="center"/>
              <w:rPr>
                <w:rFonts w:ascii="Arial" w:hAnsi="Arial" w:cs="Arial"/>
                <w:sz w:val="20"/>
                <w:szCs w:val="20"/>
              </w:rPr>
            </w:pPr>
            <w:r>
              <w:rPr>
                <w:rFonts w:ascii="Arial" w:hAnsi="Arial" w:cs="Arial"/>
                <w:noProof/>
                <w:sz w:val="20"/>
                <w:szCs w:val="20"/>
              </w:rPr>
              <w:drawing>
                <wp:anchor distT="0" distB="0" distL="114300" distR="114300" simplePos="0" relativeHeight="251703296" behindDoc="0" locked="0" layoutInCell="1" allowOverlap="1" wp14:anchorId="628C1519" wp14:editId="331242FD">
                  <wp:simplePos x="0" y="0"/>
                  <wp:positionH relativeFrom="column">
                    <wp:posOffset>-2540</wp:posOffset>
                  </wp:positionH>
                  <wp:positionV relativeFrom="paragraph">
                    <wp:posOffset>149225</wp:posOffset>
                  </wp:positionV>
                  <wp:extent cx="704850" cy="539750"/>
                  <wp:effectExtent l="0" t="0" r="0" b="0"/>
                  <wp:wrapTopAndBottom/>
                  <wp:docPr id="41" name="Image 4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48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1229" w:type="dxa"/>
            <w:vAlign w:val="center"/>
          </w:tcPr>
          <w:p w14:paraId="5B202E4A" w14:textId="66B77D75" w:rsidR="007809CB" w:rsidRDefault="007809CB" w:rsidP="007809CB">
            <w:pPr>
              <w:jc w:val="center"/>
              <w:rPr>
                <w:rFonts w:ascii="Arial" w:hAnsi="Arial" w:cs="Arial"/>
                <w:sz w:val="20"/>
                <w:szCs w:val="20"/>
              </w:rPr>
            </w:pPr>
            <w:r>
              <w:rPr>
                <w:rFonts w:ascii="Arial" w:hAnsi="Arial" w:cs="Arial"/>
                <w:noProof/>
                <w:sz w:val="20"/>
                <w:szCs w:val="20"/>
              </w:rPr>
              <w:drawing>
                <wp:anchor distT="0" distB="0" distL="114300" distR="114300" simplePos="0" relativeHeight="251705344" behindDoc="0" locked="0" layoutInCell="1" allowOverlap="1" wp14:anchorId="2854EF63" wp14:editId="5D70626F">
                  <wp:simplePos x="0" y="0"/>
                  <wp:positionH relativeFrom="column">
                    <wp:posOffset>-1905</wp:posOffset>
                  </wp:positionH>
                  <wp:positionV relativeFrom="paragraph">
                    <wp:posOffset>149225</wp:posOffset>
                  </wp:positionV>
                  <wp:extent cx="566420" cy="566420"/>
                  <wp:effectExtent l="0" t="0" r="5080" b="5080"/>
                  <wp:wrapTopAndBottom/>
                  <wp:docPr id="42" name="Image 4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anchor>
              </w:drawing>
            </w:r>
          </w:p>
        </w:tc>
      </w:tr>
      <w:tr w:rsidR="007809CB" w14:paraId="00CE97D9" w14:textId="77777777" w:rsidTr="00D76C87">
        <w:trPr>
          <w:jc w:val="center"/>
        </w:trPr>
        <w:tc>
          <w:tcPr>
            <w:tcW w:w="9072" w:type="dxa"/>
            <w:gridSpan w:val="10"/>
            <w:vAlign w:val="center"/>
          </w:tcPr>
          <w:p w14:paraId="2BD30220" w14:textId="77777777" w:rsidR="007809CB" w:rsidRDefault="007809CB" w:rsidP="007809CB">
            <w:pPr>
              <w:autoSpaceDE w:val="0"/>
              <w:autoSpaceDN w:val="0"/>
              <w:adjustRightInd w:val="0"/>
              <w:jc w:val="both"/>
              <w:rPr>
                <w:rFonts w:ascii="Arial" w:hAnsi="Arial" w:cs="Arial"/>
                <w:sz w:val="20"/>
                <w:szCs w:val="20"/>
              </w:rPr>
            </w:pPr>
          </w:p>
          <w:p w14:paraId="73B32C3D" w14:textId="004B162A" w:rsidR="007809CB" w:rsidRDefault="007809CB" w:rsidP="007809CB">
            <w:pPr>
              <w:autoSpaceDE w:val="0"/>
              <w:autoSpaceDN w:val="0"/>
              <w:adjustRightInd w:val="0"/>
              <w:jc w:val="both"/>
              <w:rPr>
                <w:rStyle w:val="gmail-s1"/>
                <w:rFonts w:ascii="Arial" w:hAnsi="Arial" w:cs="Arial"/>
                <w:sz w:val="20"/>
                <w:szCs w:val="20"/>
              </w:rPr>
            </w:pPr>
            <w:r w:rsidRPr="00063B1C">
              <w:rPr>
                <w:rFonts w:ascii="Arial" w:hAnsi="Arial" w:cs="Arial"/>
                <w:sz w:val="20"/>
                <w:szCs w:val="20"/>
              </w:rPr>
              <w:t>Le Campus est financé par un partenariat public/privé</w:t>
            </w:r>
            <w:r>
              <w:rPr>
                <w:rFonts w:ascii="Arial" w:hAnsi="Arial" w:cs="Arial"/>
                <w:sz w:val="20"/>
                <w:szCs w:val="20"/>
              </w:rPr>
              <w:t>**</w:t>
            </w:r>
            <w:r w:rsidRPr="00063B1C">
              <w:rPr>
                <w:rFonts w:ascii="Arial" w:hAnsi="Arial" w:cs="Arial"/>
                <w:sz w:val="20"/>
                <w:szCs w:val="20"/>
              </w:rPr>
              <w:t xml:space="preserve"> exceptionnel dont 11,75 M€ dans le cadre du dispositif «</w:t>
            </w:r>
            <w:r w:rsidR="003925C2">
              <w:rPr>
                <w:rFonts w:ascii="Arial" w:hAnsi="Arial" w:cs="Arial"/>
                <w:sz w:val="20"/>
                <w:szCs w:val="20"/>
              </w:rPr>
              <w:t> </w:t>
            </w:r>
            <w:r w:rsidRPr="00063B1C">
              <w:rPr>
                <w:rFonts w:ascii="Arial" w:hAnsi="Arial" w:cs="Arial"/>
                <w:sz w:val="20"/>
                <w:szCs w:val="20"/>
              </w:rPr>
              <w:t>Ingénierie de formation professionnelles et continues et d’offres innovantes</w:t>
            </w:r>
            <w:r>
              <w:rPr>
                <w:rFonts w:ascii="Arial" w:hAnsi="Arial" w:cs="Arial"/>
                <w:sz w:val="20"/>
                <w:szCs w:val="20"/>
              </w:rPr>
              <w:t xml:space="preserve"> » </w:t>
            </w:r>
            <w:r w:rsidRPr="00063B1C">
              <w:rPr>
                <w:rFonts w:ascii="Arial" w:hAnsi="Arial" w:cs="Arial"/>
                <w:sz w:val="20"/>
                <w:szCs w:val="20"/>
              </w:rPr>
              <w:t>opéré par la Caisse des Dépôts pour le compte de l’Etat, auxquels s’ajoutent le soutien de l’Opérateur de compétences interindustriel et celui de la Région Île</w:t>
            </w:r>
            <w:r w:rsidR="003925C2">
              <w:rPr>
                <w:rFonts w:ascii="Arial" w:hAnsi="Arial" w:cs="Arial"/>
                <w:sz w:val="20"/>
                <w:szCs w:val="20"/>
              </w:rPr>
              <w:t>-</w:t>
            </w:r>
            <w:r w:rsidRPr="00063B1C">
              <w:rPr>
                <w:rFonts w:ascii="Arial" w:hAnsi="Arial" w:cs="Arial"/>
                <w:sz w:val="20"/>
                <w:szCs w:val="20"/>
              </w:rPr>
              <w:t>de</w:t>
            </w:r>
            <w:r w:rsidR="003925C2">
              <w:rPr>
                <w:rFonts w:ascii="Arial" w:hAnsi="Arial" w:cs="Arial"/>
                <w:sz w:val="20"/>
                <w:szCs w:val="20"/>
              </w:rPr>
              <w:t>-</w:t>
            </w:r>
            <w:r w:rsidRPr="00063B1C">
              <w:rPr>
                <w:rFonts w:ascii="Arial" w:hAnsi="Arial" w:cs="Arial"/>
                <w:sz w:val="20"/>
                <w:szCs w:val="20"/>
              </w:rPr>
              <w:t>France, ainsi qu’une forte mobilisation des industriels du secteur formés en consortium pour un investissement de plus de 30 M€</w:t>
            </w:r>
            <w:r>
              <w:rPr>
                <w:rStyle w:val="gmail-s1"/>
                <w:rFonts w:ascii="Arial" w:hAnsi="Arial" w:cs="Arial"/>
                <w:sz w:val="20"/>
                <w:szCs w:val="20"/>
              </w:rPr>
              <w:t>.</w:t>
            </w:r>
          </w:p>
          <w:p w14:paraId="05FC320D" w14:textId="3718DD50" w:rsidR="007809CB" w:rsidRDefault="007809CB" w:rsidP="007809CB">
            <w:pPr>
              <w:autoSpaceDE w:val="0"/>
              <w:autoSpaceDN w:val="0"/>
              <w:adjustRightInd w:val="0"/>
              <w:jc w:val="both"/>
              <w:rPr>
                <w:rStyle w:val="gmail-s1"/>
                <w:rFonts w:ascii="Arial" w:hAnsi="Arial" w:cs="Arial"/>
                <w:sz w:val="20"/>
                <w:szCs w:val="20"/>
              </w:rPr>
            </w:pPr>
          </w:p>
          <w:p w14:paraId="4FEF0F91" w14:textId="65B53C2A" w:rsidR="007809CB" w:rsidRDefault="007809CB" w:rsidP="007809CB">
            <w:pPr>
              <w:autoSpaceDE w:val="0"/>
              <w:autoSpaceDN w:val="0"/>
              <w:adjustRightInd w:val="0"/>
              <w:jc w:val="both"/>
              <w:rPr>
                <w:rStyle w:val="gmail-s1"/>
                <w:rFonts w:ascii="Arial" w:hAnsi="Arial" w:cs="Arial"/>
                <w:sz w:val="20"/>
                <w:szCs w:val="20"/>
              </w:rPr>
            </w:pPr>
            <w:r w:rsidRPr="008A41C5">
              <w:rPr>
                <w:rFonts w:ascii="Arial" w:hAnsi="Arial" w:cs="Arial"/>
                <w:i/>
                <w:iCs/>
                <w:sz w:val="18"/>
                <w:szCs w:val="18"/>
              </w:rPr>
              <w:t>**Ce partenariat public-privé est soutenu par l’Etat dans le cadre de l’Action « Adaptation et qualification de la main d'œuvre », dispositif « Ingénierie de formations professionnelles et d’offres d’accompagnement innovantes (IFPAI) volet national du Programme d’investissements d’avenir, opéré par la Caisse des Dépôts (Banque des Territoires).</w:t>
            </w:r>
          </w:p>
          <w:p w14:paraId="728559B0" w14:textId="77777777" w:rsidR="007809CB" w:rsidRDefault="007809CB" w:rsidP="007809CB">
            <w:pPr>
              <w:jc w:val="center"/>
              <w:rPr>
                <w:rFonts w:ascii="Arial" w:hAnsi="Arial" w:cs="Arial"/>
                <w:noProof/>
                <w:sz w:val="20"/>
                <w:szCs w:val="20"/>
              </w:rPr>
            </w:pPr>
          </w:p>
        </w:tc>
      </w:tr>
      <w:tr w:rsidR="007809CB" w14:paraId="0BCBE4DA" w14:textId="77777777" w:rsidTr="007809CB">
        <w:trPr>
          <w:jc w:val="center"/>
        </w:trPr>
        <w:tc>
          <w:tcPr>
            <w:tcW w:w="2206" w:type="dxa"/>
            <w:gridSpan w:val="2"/>
            <w:vAlign w:val="center"/>
          </w:tcPr>
          <w:p w14:paraId="708A68E2" w14:textId="524477A2" w:rsidR="007809CB" w:rsidRDefault="007809CB" w:rsidP="007809CB">
            <w:pPr>
              <w:autoSpaceDE w:val="0"/>
              <w:autoSpaceDN w:val="0"/>
              <w:adjustRightInd w:val="0"/>
              <w:jc w:val="center"/>
              <w:rPr>
                <w:rFonts w:ascii="Arial" w:hAnsi="Arial" w:cs="Arial"/>
                <w:sz w:val="20"/>
                <w:szCs w:val="20"/>
              </w:rPr>
            </w:pPr>
            <w:r w:rsidRPr="0052235C">
              <w:rPr>
                <w:rFonts w:ascii="Arial" w:hAnsi="Arial" w:cs="Arial"/>
                <w:noProof/>
                <w:sz w:val="20"/>
                <w:szCs w:val="20"/>
              </w:rPr>
              <w:drawing>
                <wp:inline distT="0" distB="0" distL="0" distR="0" wp14:anchorId="4C0BDC1F" wp14:editId="7CFF53AE">
                  <wp:extent cx="679450" cy="679450"/>
                  <wp:effectExtent l="0" t="0" r="6350" b="635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tc>
        <w:tc>
          <w:tcPr>
            <w:tcW w:w="2207" w:type="dxa"/>
            <w:gridSpan w:val="3"/>
            <w:vAlign w:val="center"/>
          </w:tcPr>
          <w:p w14:paraId="08E6943E" w14:textId="23E56B25" w:rsidR="007809CB" w:rsidRDefault="007809CB" w:rsidP="007809CB">
            <w:pPr>
              <w:autoSpaceDE w:val="0"/>
              <w:autoSpaceDN w:val="0"/>
              <w:adjustRightInd w:val="0"/>
              <w:jc w:val="center"/>
              <w:rPr>
                <w:rFonts w:ascii="Arial" w:hAnsi="Arial" w:cs="Arial"/>
                <w:sz w:val="20"/>
                <w:szCs w:val="20"/>
              </w:rPr>
            </w:pPr>
            <w:r>
              <w:rPr>
                <w:rFonts w:ascii="Arial" w:hAnsi="Arial" w:cs="Arial"/>
                <w:noProof/>
                <w:sz w:val="20"/>
                <w:szCs w:val="20"/>
              </w:rPr>
              <w:drawing>
                <wp:inline distT="0" distB="0" distL="0" distR="0" wp14:anchorId="334C2230" wp14:editId="30CA9C15">
                  <wp:extent cx="547370" cy="554355"/>
                  <wp:effectExtent l="0" t="0" r="508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7370" cy="554355"/>
                          </a:xfrm>
                          <a:prstGeom prst="rect">
                            <a:avLst/>
                          </a:prstGeom>
                        </pic:spPr>
                      </pic:pic>
                    </a:graphicData>
                  </a:graphic>
                </wp:inline>
              </w:drawing>
            </w:r>
          </w:p>
        </w:tc>
        <w:tc>
          <w:tcPr>
            <w:tcW w:w="2213" w:type="dxa"/>
            <w:gridSpan w:val="3"/>
            <w:vAlign w:val="center"/>
          </w:tcPr>
          <w:p w14:paraId="10D1B351" w14:textId="328A07B2" w:rsidR="007809CB" w:rsidRDefault="007809CB" w:rsidP="007809CB">
            <w:pPr>
              <w:autoSpaceDE w:val="0"/>
              <w:autoSpaceDN w:val="0"/>
              <w:adjustRightInd w:val="0"/>
              <w:jc w:val="center"/>
              <w:rPr>
                <w:rFonts w:ascii="Arial" w:hAnsi="Arial" w:cs="Arial"/>
                <w:sz w:val="20"/>
                <w:szCs w:val="20"/>
              </w:rPr>
            </w:pPr>
            <w:r>
              <w:rPr>
                <w:rFonts w:ascii="Arial" w:hAnsi="Arial" w:cs="Arial"/>
                <w:noProof/>
                <w:sz w:val="20"/>
                <w:szCs w:val="20"/>
              </w:rPr>
              <w:drawing>
                <wp:inline distT="0" distB="0" distL="0" distR="0" wp14:anchorId="7455FF84" wp14:editId="056B3533">
                  <wp:extent cx="787400" cy="7874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tc>
        <w:tc>
          <w:tcPr>
            <w:tcW w:w="2446" w:type="dxa"/>
            <w:gridSpan w:val="2"/>
            <w:vAlign w:val="center"/>
          </w:tcPr>
          <w:p w14:paraId="072E06EA" w14:textId="0ADBAF63" w:rsidR="007809CB" w:rsidRDefault="007809CB" w:rsidP="007809CB">
            <w:pPr>
              <w:autoSpaceDE w:val="0"/>
              <w:autoSpaceDN w:val="0"/>
              <w:adjustRightInd w:val="0"/>
              <w:jc w:val="center"/>
              <w:rPr>
                <w:rFonts w:ascii="Arial" w:hAnsi="Arial" w:cs="Arial"/>
                <w:sz w:val="20"/>
                <w:szCs w:val="20"/>
              </w:rPr>
            </w:pPr>
            <w:r>
              <w:rPr>
                <w:rFonts w:ascii="Arial" w:hAnsi="Arial" w:cs="Arial"/>
                <w:noProof/>
                <w:sz w:val="20"/>
                <w:szCs w:val="20"/>
              </w:rPr>
              <w:drawing>
                <wp:inline distT="0" distB="0" distL="0" distR="0" wp14:anchorId="28E4206A" wp14:editId="11E2BE33">
                  <wp:extent cx="1460500" cy="53403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60500" cy="534035"/>
                          </a:xfrm>
                          <a:prstGeom prst="rect">
                            <a:avLst/>
                          </a:prstGeom>
                        </pic:spPr>
                      </pic:pic>
                    </a:graphicData>
                  </a:graphic>
                </wp:inline>
              </w:drawing>
            </w:r>
          </w:p>
        </w:tc>
      </w:tr>
      <w:tr w:rsidR="007809CB" w14:paraId="74F8C737" w14:textId="77777777" w:rsidTr="007809CB">
        <w:trPr>
          <w:jc w:val="center"/>
        </w:trPr>
        <w:tc>
          <w:tcPr>
            <w:tcW w:w="2206" w:type="dxa"/>
            <w:gridSpan w:val="2"/>
            <w:vAlign w:val="center"/>
          </w:tcPr>
          <w:p w14:paraId="7DA69EFA" w14:textId="6142F2F2" w:rsidR="007809CB" w:rsidRPr="0052235C" w:rsidRDefault="007809CB" w:rsidP="007809CB">
            <w:pPr>
              <w:autoSpaceDE w:val="0"/>
              <w:autoSpaceDN w:val="0"/>
              <w:adjustRightInd w:val="0"/>
              <w:jc w:val="center"/>
              <w:rPr>
                <w:rFonts w:ascii="Arial" w:hAnsi="Arial" w:cs="Arial"/>
                <w:noProof/>
                <w:sz w:val="20"/>
                <w:szCs w:val="20"/>
              </w:rPr>
            </w:pPr>
            <w:r w:rsidRPr="0052235C">
              <w:rPr>
                <w:rFonts w:ascii="Arial" w:hAnsi="Arial" w:cs="Arial"/>
                <w:sz w:val="14"/>
                <w:szCs w:val="14"/>
              </w:rPr>
              <w:t xml:space="preserve">Lauréat du </w:t>
            </w:r>
            <w:r w:rsidR="003925C2">
              <w:rPr>
                <w:rFonts w:ascii="Arial" w:hAnsi="Arial" w:cs="Arial"/>
                <w:sz w:val="14"/>
                <w:szCs w:val="14"/>
              </w:rPr>
              <w:t>« P</w:t>
            </w:r>
            <w:r w:rsidRPr="0052235C">
              <w:rPr>
                <w:rFonts w:ascii="Arial" w:hAnsi="Arial" w:cs="Arial"/>
                <w:sz w:val="14"/>
                <w:szCs w:val="14"/>
              </w:rPr>
              <w:t>rogramme d’investissement d’avenir »</w:t>
            </w:r>
          </w:p>
        </w:tc>
        <w:tc>
          <w:tcPr>
            <w:tcW w:w="2207" w:type="dxa"/>
            <w:gridSpan w:val="3"/>
            <w:vAlign w:val="center"/>
          </w:tcPr>
          <w:p w14:paraId="7C2DC5A4" w14:textId="77777777" w:rsidR="007809CB" w:rsidRDefault="007809CB" w:rsidP="007809CB">
            <w:pPr>
              <w:autoSpaceDE w:val="0"/>
              <w:autoSpaceDN w:val="0"/>
              <w:adjustRightInd w:val="0"/>
              <w:jc w:val="center"/>
              <w:rPr>
                <w:rFonts w:ascii="Arial" w:hAnsi="Arial" w:cs="Arial"/>
                <w:noProof/>
                <w:sz w:val="20"/>
                <w:szCs w:val="20"/>
              </w:rPr>
            </w:pPr>
          </w:p>
        </w:tc>
        <w:tc>
          <w:tcPr>
            <w:tcW w:w="2213" w:type="dxa"/>
            <w:gridSpan w:val="3"/>
            <w:vAlign w:val="center"/>
          </w:tcPr>
          <w:p w14:paraId="03042948" w14:textId="77777777" w:rsidR="007809CB" w:rsidRDefault="007809CB" w:rsidP="007809CB">
            <w:pPr>
              <w:autoSpaceDE w:val="0"/>
              <w:autoSpaceDN w:val="0"/>
              <w:adjustRightInd w:val="0"/>
              <w:jc w:val="center"/>
              <w:rPr>
                <w:rFonts w:ascii="Arial" w:hAnsi="Arial" w:cs="Arial"/>
                <w:noProof/>
                <w:sz w:val="20"/>
                <w:szCs w:val="20"/>
              </w:rPr>
            </w:pPr>
          </w:p>
        </w:tc>
        <w:tc>
          <w:tcPr>
            <w:tcW w:w="2446" w:type="dxa"/>
            <w:gridSpan w:val="2"/>
            <w:vAlign w:val="center"/>
          </w:tcPr>
          <w:p w14:paraId="51B056A5" w14:textId="77777777" w:rsidR="007809CB" w:rsidRDefault="007809CB" w:rsidP="007809CB">
            <w:pPr>
              <w:autoSpaceDE w:val="0"/>
              <w:autoSpaceDN w:val="0"/>
              <w:adjustRightInd w:val="0"/>
              <w:jc w:val="center"/>
              <w:rPr>
                <w:rFonts w:ascii="Arial" w:hAnsi="Arial" w:cs="Arial"/>
                <w:noProof/>
                <w:sz w:val="20"/>
                <w:szCs w:val="20"/>
              </w:rPr>
            </w:pPr>
          </w:p>
        </w:tc>
      </w:tr>
      <w:tr w:rsidR="007809CB" w14:paraId="77A05078" w14:textId="77777777" w:rsidTr="00A57B92">
        <w:trPr>
          <w:jc w:val="center"/>
        </w:trPr>
        <w:tc>
          <w:tcPr>
            <w:tcW w:w="9072" w:type="dxa"/>
            <w:gridSpan w:val="10"/>
            <w:vAlign w:val="center"/>
          </w:tcPr>
          <w:p w14:paraId="5FDB14F2" w14:textId="7FC9BBF8" w:rsidR="007809CB" w:rsidRDefault="007809CB" w:rsidP="007809CB">
            <w:pPr>
              <w:rPr>
                <w:rFonts w:ascii="Arial" w:hAnsi="Arial" w:cs="Arial"/>
                <w:sz w:val="18"/>
                <w:szCs w:val="18"/>
              </w:rPr>
            </w:pPr>
          </w:p>
          <w:p w14:paraId="793D16D2" w14:textId="77777777" w:rsidR="007809CB" w:rsidRDefault="007809CB" w:rsidP="007809CB">
            <w:pPr>
              <w:rPr>
                <w:rFonts w:ascii="Arial" w:hAnsi="Arial" w:cs="Arial"/>
                <w:sz w:val="18"/>
                <w:szCs w:val="18"/>
              </w:rPr>
            </w:pPr>
          </w:p>
          <w:p w14:paraId="72BF6E57" w14:textId="77777777" w:rsidR="007809CB" w:rsidRPr="002830E9" w:rsidRDefault="007809CB" w:rsidP="007809CB">
            <w:pPr>
              <w:rPr>
                <w:rFonts w:ascii="Arial" w:hAnsi="Arial" w:cs="Arial"/>
                <w:b/>
                <w:bCs/>
                <w:sz w:val="18"/>
                <w:szCs w:val="18"/>
              </w:rPr>
            </w:pPr>
            <w:r w:rsidRPr="002830E9">
              <w:rPr>
                <w:rFonts w:ascii="Arial" w:hAnsi="Arial" w:cs="Arial"/>
                <w:b/>
                <w:bCs/>
                <w:sz w:val="18"/>
                <w:szCs w:val="18"/>
              </w:rPr>
              <w:t>Contact presse :</w:t>
            </w:r>
          </w:p>
          <w:p w14:paraId="34F8E50F" w14:textId="77777777" w:rsidR="007809CB" w:rsidRDefault="007809CB" w:rsidP="007809CB">
            <w:pPr>
              <w:rPr>
                <w:rFonts w:ascii="Arial" w:hAnsi="Arial" w:cs="Arial"/>
                <w:sz w:val="18"/>
                <w:szCs w:val="18"/>
              </w:rPr>
            </w:pPr>
            <w:r>
              <w:rPr>
                <w:rFonts w:ascii="Arial" w:hAnsi="Arial" w:cs="Arial"/>
                <w:sz w:val="18"/>
                <w:szCs w:val="18"/>
              </w:rPr>
              <w:t xml:space="preserve">Sébastien Béraud – </w:t>
            </w:r>
            <w:hyperlink r:id="rId30" w:history="1">
              <w:r w:rsidRPr="00077D01">
                <w:rPr>
                  <w:rStyle w:val="Lienhypertexte"/>
                  <w:rFonts w:ascii="Arial" w:hAnsi="Arial" w:cs="Arial"/>
                  <w:sz w:val="18"/>
                  <w:szCs w:val="18"/>
                </w:rPr>
                <w:t>sberaud@hopscotch.fr</w:t>
              </w:r>
            </w:hyperlink>
            <w:r>
              <w:rPr>
                <w:rFonts w:ascii="Arial" w:hAnsi="Arial" w:cs="Arial"/>
                <w:sz w:val="18"/>
                <w:szCs w:val="18"/>
              </w:rPr>
              <w:t xml:space="preserve"> – 01 41 34 23 67</w:t>
            </w:r>
          </w:p>
          <w:p w14:paraId="4B784831" w14:textId="5110869F" w:rsidR="007809CB" w:rsidRDefault="007809CB" w:rsidP="007809CB">
            <w:pPr>
              <w:autoSpaceDE w:val="0"/>
              <w:autoSpaceDN w:val="0"/>
              <w:adjustRightInd w:val="0"/>
              <w:rPr>
                <w:rFonts w:ascii="Arial" w:hAnsi="Arial" w:cs="Arial"/>
                <w:sz w:val="20"/>
                <w:szCs w:val="20"/>
              </w:rPr>
            </w:pPr>
          </w:p>
          <w:p w14:paraId="02095DA1" w14:textId="77777777" w:rsidR="00A23CBD" w:rsidRDefault="00A23CBD" w:rsidP="007809CB">
            <w:pPr>
              <w:autoSpaceDE w:val="0"/>
              <w:autoSpaceDN w:val="0"/>
              <w:adjustRightInd w:val="0"/>
              <w:rPr>
                <w:rFonts w:ascii="Arial" w:hAnsi="Arial" w:cs="Arial"/>
                <w:sz w:val="20"/>
                <w:szCs w:val="20"/>
              </w:rPr>
            </w:pPr>
          </w:p>
          <w:p w14:paraId="60764E2D" w14:textId="77777777" w:rsidR="007809CB" w:rsidRPr="00906AF9" w:rsidRDefault="007809CB" w:rsidP="007809CB">
            <w:pPr>
              <w:spacing w:after="60"/>
              <w:rPr>
                <w:rFonts w:ascii="Arial" w:hAnsi="Arial" w:cs="Arial"/>
                <w:sz w:val="18"/>
                <w:szCs w:val="18"/>
              </w:rPr>
            </w:pPr>
            <w:r>
              <w:rPr>
                <w:rFonts w:ascii="Arial" w:hAnsi="Arial" w:cs="Arial"/>
                <w:b/>
                <w:caps/>
                <w:sz w:val="18"/>
                <w:szCs w:val="18"/>
              </w:rPr>
              <w:t xml:space="preserve">a </w:t>
            </w:r>
            <w:r>
              <w:rPr>
                <w:rFonts w:ascii="Arial" w:hAnsi="Arial" w:cs="Arial"/>
                <w:b/>
                <w:sz w:val="18"/>
                <w:szCs w:val="18"/>
              </w:rPr>
              <w:t>propos de bioMérieux</w:t>
            </w:r>
          </w:p>
          <w:p w14:paraId="35A1EE0A" w14:textId="77777777" w:rsidR="007809CB" w:rsidRPr="00906AF9" w:rsidRDefault="007809CB" w:rsidP="007809CB">
            <w:pPr>
              <w:pStyle w:val="Normala"/>
              <w:spacing w:after="60"/>
              <w:ind w:right="0"/>
              <w:rPr>
                <w:i/>
                <w:iCs/>
                <w:sz w:val="18"/>
                <w:szCs w:val="18"/>
                <w:lang w:val="fr-FR"/>
              </w:rPr>
            </w:pPr>
            <w:r w:rsidRPr="00906AF9">
              <w:rPr>
                <w:i/>
                <w:iCs/>
                <w:sz w:val="18"/>
                <w:szCs w:val="18"/>
                <w:lang w:val="fr-FR"/>
              </w:rPr>
              <w:t>Pioneering Diagnostics</w:t>
            </w:r>
          </w:p>
          <w:p w14:paraId="2035B95F" w14:textId="77777777" w:rsidR="007809CB" w:rsidRPr="00906AF9" w:rsidRDefault="007809CB" w:rsidP="007809CB">
            <w:pPr>
              <w:pStyle w:val="Normala"/>
              <w:spacing w:after="60"/>
              <w:ind w:right="0"/>
              <w:rPr>
                <w:sz w:val="18"/>
                <w:szCs w:val="18"/>
                <w:lang w:val="fr-FR"/>
              </w:rPr>
            </w:pPr>
            <w:r w:rsidRPr="00906AF9">
              <w:rPr>
                <w:sz w:val="18"/>
                <w:szCs w:val="18"/>
                <w:lang w:val="fr-FR"/>
              </w:rPr>
              <w:t xml:space="preserve">Acteur mondial dans le domaine du diagnostic </w:t>
            </w:r>
            <w:r w:rsidRPr="00906AF9">
              <w:rPr>
                <w:i/>
                <w:iCs/>
                <w:sz w:val="18"/>
                <w:szCs w:val="18"/>
                <w:lang w:val="fr-FR"/>
              </w:rPr>
              <w:t>in vitro</w:t>
            </w:r>
            <w:r w:rsidRPr="00906AF9">
              <w:rPr>
                <w:sz w:val="18"/>
                <w:szCs w:val="18"/>
                <w:lang w:val="fr-FR"/>
              </w:rPr>
              <w:t xml:space="preserve"> depuis plus de 55 ans, bioMérieux est une société française, présente dans 44 pays et sert plus de 160 pays avec un large réseau de distributeurs. En 2019, le chiffre d'affaires de bioMérieux s’est élevé à 2,7 milliards d'euros, dont plus de 90 % ont été réalisés à l’international. </w:t>
            </w:r>
          </w:p>
          <w:p w14:paraId="48152CC8" w14:textId="77777777" w:rsidR="007809CB" w:rsidRPr="00906AF9" w:rsidRDefault="007809CB" w:rsidP="007809CB">
            <w:pPr>
              <w:pStyle w:val="Normala"/>
              <w:spacing w:after="60"/>
              <w:ind w:right="0"/>
              <w:rPr>
                <w:sz w:val="18"/>
                <w:szCs w:val="18"/>
                <w:lang w:val="fr-FR"/>
              </w:rPr>
            </w:pPr>
            <w:r w:rsidRPr="00906AF9">
              <w:rPr>
                <w:sz w:val="18"/>
                <w:szCs w:val="18"/>
                <w:lang w:val="fr-FR"/>
              </w:rPr>
              <w:t xml:space="preserve">bioMérieux offre des solutions de diagnostic (systèmes, réactifs, logiciels et services) qui déterminent l’origine d’une maladie ou d’une contamination pour améliorer la santé des patients et assurer la sécurité des consommateurs. </w:t>
            </w:r>
            <w:r w:rsidRPr="00906AF9">
              <w:rPr>
                <w:sz w:val="18"/>
                <w:szCs w:val="18"/>
                <w:lang w:val="fr-CA"/>
              </w:rPr>
              <w:t xml:space="preserve">Ses produits sont utilisés principalement pour le diagnostic des maladies infectieuses. </w:t>
            </w:r>
            <w:r w:rsidRPr="00906AF9">
              <w:rPr>
                <w:sz w:val="18"/>
                <w:szCs w:val="18"/>
                <w:lang w:val="fr-FR"/>
              </w:rPr>
              <w:t>Ils sont également utilisés pour la détection de micro-organismes dans les produits agroalimentaires, pharmaceutiques et cosmétiques.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4"/>
              <w:gridCol w:w="8052"/>
            </w:tblGrid>
            <w:tr w:rsidR="007809CB" w:rsidRPr="00906AF9" w14:paraId="58E09763" w14:textId="77777777" w:rsidTr="004204B6">
              <w:tc>
                <w:tcPr>
                  <w:tcW w:w="817" w:type="dxa"/>
                  <w:hideMark/>
                </w:tcPr>
                <w:p w14:paraId="6F63C221" w14:textId="77777777" w:rsidR="007809CB" w:rsidRPr="00906AF9" w:rsidRDefault="007809CB" w:rsidP="007809CB">
                  <w:pPr>
                    <w:pStyle w:val="Normala"/>
                    <w:spacing w:after="60"/>
                    <w:ind w:right="0"/>
                    <w:rPr>
                      <w:sz w:val="18"/>
                      <w:szCs w:val="18"/>
                    </w:rPr>
                  </w:pPr>
                  <w:r w:rsidRPr="00906AF9">
                    <w:rPr>
                      <w:noProof/>
                      <w:sz w:val="18"/>
                      <w:szCs w:val="18"/>
                      <w:lang w:val="fr-FR" w:eastAsia="zh-CN" w:bidi="th-TH"/>
                    </w:rPr>
                    <w:drawing>
                      <wp:inline distT="0" distB="0" distL="0" distR="0" wp14:anchorId="2C2D9D56" wp14:editId="6CF9C87A">
                        <wp:extent cx="438150" cy="4381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8819" w:type="dxa"/>
                  <w:hideMark/>
                </w:tcPr>
                <w:p w14:paraId="611B6525" w14:textId="77777777" w:rsidR="007809CB" w:rsidRPr="00906AF9" w:rsidRDefault="007809CB" w:rsidP="007809CB">
                  <w:pPr>
                    <w:pStyle w:val="Normala"/>
                    <w:spacing w:after="0"/>
                    <w:ind w:right="0"/>
                    <w:rPr>
                      <w:sz w:val="18"/>
                      <w:szCs w:val="18"/>
                      <w:lang w:val="fr-CA"/>
                    </w:rPr>
                  </w:pPr>
                  <w:r w:rsidRPr="00906AF9">
                    <w:rPr>
                      <w:sz w:val="18"/>
                      <w:szCs w:val="18"/>
                      <w:lang w:val="fr-CA"/>
                    </w:rPr>
                    <w:t xml:space="preserve">bioMérieux est une société cotée sur Euronext Paris. </w:t>
                  </w:r>
                </w:p>
                <w:p w14:paraId="730431B4" w14:textId="77777777" w:rsidR="007809CB" w:rsidRPr="00906AF9" w:rsidRDefault="007809CB" w:rsidP="007809CB">
                  <w:pPr>
                    <w:pStyle w:val="Normala"/>
                    <w:spacing w:after="0"/>
                    <w:ind w:right="0"/>
                    <w:rPr>
                      <w:sz w:val="18"/>
                      <w:szCs w:val="18"/>
                      <w:lang w:val="fr-CA"/>
                    </w:rPr>
                  </w:pPr>
                  <w:r w:rsidRPr="00906AF9">
                    <w:rPr>
                      <w:sz w:val="18"/>
                      <w:szCs w:val="18"/>
                      <w:lang w:val="fr-CA"/>
                    </w:rPr>
                    <w:t>Code : BIM - Code ISIN : FR0013280286</w:t>
                  </w:r>
                </w:p>
                <w:p w14:paraId="02F3AA80" w14:textId="77777777" w:rsidR="007809CB" w:rsidRPr="00906AF9" w:rsidRDefault="007809CB" w:rsidP="007809CB">
                  <w:pPr>
                    <w:pStyle w:val="Normala"/>
                    <w:spacing w:after="0"/>
                    <w:ind w:right="0"/>
                    <w:rPr>
                      <w:sz w:val="18"/>
                      <w:szCs w:val="18"/>
                      <w:lang w:val="fr-CA"/>
                    </w:rPr>
                  </w:pPr>
                  <w:r w:rsidRPr="00906AF9">
                    <w:rPr>
                      <w:sz w:val="18"/>
                      <w:szCs w:val="18"/>
                      <w:lang w:val="fr-CA"/>
                    </w:rPr>
                    <w:t>Reuters : BIOX.PA / Bloomberg : BIM.FP </w:t>
                  </w:r>
                </w:p>
              </w:tc>
            </w:tr>
          </w:tbl>
          <w:p w14:paraId="3B1C9539" w14:textId="77777777" w:rsidR="007809CB" w:rsidRPr="00906AF9" w:rsidRDefault="007809CB" w:rsidP="007809CB">
            <w:pPr>
              <w:pStyle w:val="Normala"/>
              <w:ind w:right="0"/>
              <w:rPr>
                <w:b/>
                <w:bCs/>
                <w:sz w:val="18"/>
                <w:szCs w:val="18"/>
                <w:lang w:val="fr-CA"/>
              </w:rPr>
            </w:pPr>
            <w:hyperlink r:id="rId32" w:history="1">
              <w:r w:rsidRPr="00906AF9">
                <w:rPr>
                  <w:rStyle w:val="Lienhypertexte"/>
                  <w:sz w:val="18"/>
                  <w:szCs w:val="18"/>
                  <w:lang w:val="fr-CA"/>
                </w:rPr>
                <w:t>www.biomerieux.com</w:t>
              </w:r>
            </w:hyperlink>
            <w:r w:rsidRPr="00906AF9">
              <w:rPr>
                <w:b/>
                <w:bCs/>
                <w:sz w:val="18"/>
                <w:szCs w:val="18"/>
                <w:lang w:val="fr-CA"/>
              </w:rPr>
              <w:t xml:space="preserve"> </w:t>
            </w:r>
          </w:p>
          <w:p w14:paraId="52957789" w14:textId="77777777" w:rsidR="007809CB" w:rsidRPr="00906AF9" w:rsidRDefault="007809CB" w:rsidP="007809CB">
            <w:pPr>
              <w:rPr>
                <w:rFonts w:ascii="Arial" w:hAnsi="Arial" w:cs="Arial"/>
                <w:sz w:val="18"/>
                <w:szCs w:val="18"/>
              </w:rPr>
            </w:pPr>
          </w:p>
          <w:p w14:paraId="4B1795B7" w14:textId="77777777" w:rsidR="007809CB" w:rsidRPr="00ED7017" w:rsidRDefault="007809CB" w:rsidP="007809CB">
            <w:pPr>
              <w:spacing w:after="60"/>
              <w:rPr>
                <w:rFonts w:ascii="Arial" w:hAnsi="Arial" w:cs="Arial"/>
                <w:b/>
                <w:sz w:val="18"/>
                <w:szCs w:val="18"/>
              </w:rPr>
            </w:pPr>
            <w:r>
              <w:rPr>
                <w:rFonts w:ascii="Arial" w:hAnsi="Arial" w:cs="Arial"/>
                <w:b/>
                <w:sz w:val="18"/>
                <w:szCs w:val="18"/>
              </w:rPr>
              <w:t>A propos de Novasep</w:t>
            </w:r>
          </w:p>
          <w:p w14:paraId="6D41C772" w14:textId="77777777" w:rsidR="007809CB" w:rsidRDefault="007809CB" w:rsidP="007809CB">
            <w:pPr>
              <w:jc w:val="both"/>
              <w:rPr>
                <w:rFonts w:ascii="Arial" w:hAnsi="Arial" w:cs="Arial"/>
                <w:color w:val="000000"/>
                <w:sz w:val="18"/>
                <w:szCs w:val="18"/>
              </w:rPr>
            </w:pPr>
            <w:r w:rsidRPr="00906AF9">
              <w:rPr>
                <w:rFonts w:ascii="Arial" w:hAnsi="Arial" w:cs="Arial"/>
                <w:color w:val="000000"/>
                <w:sz w:val="18"/>
                <w:szCs w:val="18"/>
              </w:rPr>
              <w:t xml:space="preserve">Novasep fournit des solutions économiques pour la production durable de molécules pour les sciences de la vie et la chimie fine. </w:t>
            </w:r>
            <w:r w:rsidRPr="006C0CF3">
              <w:rPr>
                <w:rFonts w:ascii="Arial" w:hAnsi="Arial" w:cs="Arial"/>
                <w:color w:val="000000"/>
                <w:sz w:val="18"/>
                <w:szCs w:val="18"/>
              </w:rPr>
              <w:t>L’offre globale de Novasep comprend des services de développement de procédés, des équipements et des systèmes clés en main de purification, des services de fabrication sous contrat ainsi que des molécules complexes actives s’adressant aux secteurs pharmaceutique, biopharmaceutique et de la chimie fine ainsi qu’aux marchés des ingrédients alimentaires et fonctionnels, des industries de matières premières issues de fermentation et de synthèse chimique.</w:t>
            </w:r>
            <w:r>
              <w:rPr>
                <w:rFonts w:ascii="Arial" w:hAnsi="Arial" w:cs="Arial"/>
                <w:color w:val="000000"/>
                <w:sz w:val="18"/>
                <w:szCs w:val="18"/>
              </w:rPr>
              <w:t xml:space="preserve"> </w:t>
            </w:r>
          </w:p>
          <w:p w14:paraId="62D76A3D" w14:textId="4B5EE03D" w:rsidR="007809CB" w:rsidRPr="00A23CBD" w:rsidRDefault="007809CB" w:rsidP="00A23CBD">
            <w:pPr>
              <w:pStyle w:val="Normala"/>
              <w:ind w:right="0"/>
              <w:rPr>
                <w:rStyle w:val="Lienhypertexte"/>
                <w:lang w:val="fr-CA"/>
              </w:rPr>
            </w:pPr>
            <w:hyperlink r:id="rId33" w:history="1">
              <w:r w:rsidRPr="00A23CBD">
                <w:rPr>
                  <w:rStyle w:val="Lienhypertexte"/>
                  <w:sz w:val="18"/>
                  <w:szCs w:val="18"/>
                  <w:lang w:val="fr-CA"/>
                </w:rPr>
                <w:t>https://www.novasep.com/</w:t>
              </w:r>
            </w:hyperlink>
          </w:p>
          <w:p w14:paraId="7D13A16A" w14:textId="77777777" w:rsidR="007809CB" w:rsidRDefault="007809CB" w:rsidP="007809CB">
            <w:pPr>
              <w:rPr>
                <w:rStyle w:val="lev"/>
                <w:rFonts w:ascii="Arial" w:hAnsi="Arial" w:cs="Arial"/>
                <w:color w:val="2B2B38"/>
                <w:sz w:val="18"/>
                <w:szCs w:val="18"/>
                <w:bdr w:val="none" w:sz="0" w:space="0" w:color="auto" w:frame="1"/>
                <w:shd w:val="clear" w:color="auto" w:fill="FFFFFF"/>
              </w:rPr>
            </w:pPr>
          </w:p>
          <w:p w14:paraId="03A09B2A" w14:textId="77777777" w:rsidR="007809CB" w:rsidRDefault="007809CB" w:rsidP="007809CB">
            <w:pPr>
              <w:rPr>
                <w:rStyle w:val="lev"/>
                <w:rFonts w:ascii="Arial" w:hAnsi="Arial" w:cs="Arial"/>
                <w:color w:val="2B2B38"/>
                <w:sz w:val="18"/>
                <w:szCs w:val="18"/>
                <w:bdr w:val="none" w:sz="0" w:space="0" w:color="auto" w:frame="1"/>
                <w:shd w:val="clear" w:color="auto" w:fill="FFFFFF"/>
              </w:rPr>
            </w:pPr>
            <w:r w:rsidRPr="00906AF9">
              <w:rPr>
                <w:rStyle w:val="lev"/>
                <w:rFonts w:ascii="Arial" w:hAnsi="Arial" w:cs="Arial"/>
                <w:color w:val="2B2B38"/>
                <w:sz w:val="18"/>
                <w:szCs w:val="18"/>
                <w:bdr w:val="none" w:sz="0" w:space="0" w:color="auto" w:frame="1"/>
                <w:shd w:val="clear" w:color="auto" w:fill="FFFFFF"/>
              </w:rPr>
              <w:t>À propos de Sanofi</w:t>
            </w:r>
          </w:p>
          <w:p w14:paraId="26238393" w14:textId="1FE87127" w:rsidR="007809CB" w:rsidRDefault="007809CB" w:rsidP="007809CB">
            <w:pPr>
              <w:jc w:val="both"/>
              <w:rPr>
                <w:rFonts w:ascii="Arial" w:hAnsi="Arial" w:cs="Arial"/>
                <w:color w:val="000000"/>
                <w:sz w:val="18"/>
                <w:szCs w:val="18"/>
                <w:lang w:eastAsia="fr-FR"/>
              </w:rPr>
            </w:pPr>
            <w:r w:rsidRPr="00ED7017">
              <w:rPr>
                <w:rFonts w:ascii="Arial" w:hAnsi="Arial" w:cs="Arial"/>
                <w:color w:val="000000"/>
                <w:sz w:val="18"/>
                <w:szCs w:val="18"/>
                <w:lang w:eastAsia="fr-FR"/>
              </w:rPr>
              <w:t xml:space="preserve">La vocation de Sanofi est d’accompagner celles et ceux confrontés à des difficultés de santé. Entreprise biopharmaceutique mondiale spécialisée dans la santé humaine, nous prévenons les maladies avec nos vaccins </w:t>
            </w:r>
            <w:r w:rsidRPr="00ED7017">
              <w:rPr>
                <w:rFonts w:ascii="Arial" w:hAnsi="Arial" w:cs="Arial"/>
                <w:color w:val="000000"/>
                <w:sz w:val="18"/>
                <w:szCs w:val="18"/>
                <w:lang w:eastAsia="fr-FR"/>
              </w:rPr>
              <w:lastRenderedPageBreak/>
              <w:t>et proposons des traitements innovants. Nous accompagnons tant ceux qui sont atteints de maladies rares, que les millions de personnes souffrant d’une maladie chronique.</w:t>
            </w:r>
          </w:p>
          <w:p w14:paraId="7AB51552" w14:textId="3349B92A" w:rsidR="007809CB" w:rsidRDefault="007809CB" w:rsidP="007809CB">
            <w:pPr>
              <w:jc w:val="both"/>
              <w:rPr>
                <w:rFonts w:ascii="Arial" w:hAnsi="Arial" w:cs="Arial"/>
                <w:color w:val="000000"/>
                <w:sz w:val="18"/>
                <w:szCs w:val="18"/>
                <w:lang w:eastAsia="fr-FR"/>
              </w:rPr>
            </w:pPr>
            <w:r w:rsidRPr="00ED7017">
              <w:rPr>
                <w:rFonts w:ascii="Arial" w:hAnsi="Arial" w:cs="Arial"/>
                <w:color w:val="000000"/>
                <w:sz w:val="18"/>
                <w:szCs w:val="18"/>
                <w:lang w:eastAsia="fr-FR"/>
              </w:rPr>
              <w:t>Sanofi et ses plus de 100 000 collaborateurs dans 100 pays transforment l'innovation scientifique en solutions de santé partout dans le monde.</w:t>
            </w:r>
          </w:p>
          <w:p w14:paraId="752457FD" w14:textId="2E514B7D" w:rsidR="007809CB" w:rsidRPr="00ED7017" w:rsidRDefault="007809CB" w:rsidP="007809CB">
            <w:pPr>
              <w:rPr>
                <w:rFonts w:ascii="Arial" w:hAnsi="Arial" w:cs="Arial"/>
                <w:color w:val="000000"/>
                <w:sz w:val="18"/>
                <w:szCs w:val="18"/>
                <w:lang w:eastAsia="fr-FR"/>
              </w:rPr>
            </w:pPr>
            <w:r w:rsidRPr="00ED7017">
              <w:rPr>
                <w:rFonts w:ascii="Arial" w:hAnsi="Arial" w:cs="Arial"/>
                <w:color w:val="000000"/>
                <w:sz w:val="18"/>
                <w:szCs w:val="18"/>
                <w:lang w:eastAsia="fr-FR"/>
              </w:rPr>
              <w:t>Sanofi, Empowering Life, donner toute sa force à la vie.</w:t>
            </w:r>
          </w:p>
          <w:p w14:paraId="0E50881D" w14:textId="77777777" w:rsidR="007809CB" w:rsidRPr="00906AF9" w:rsidRDefault="007809CB" w:rsidP="007809CB">
            <w:pPr>
              <w:jc w:val="both"/>
              <w:rPr>
                <w:rStyle w:val="lev"/>
                <w:rFonts w:ascii="Arial" w:hAnsi="Arial" w:cs="Arial"/>
                <w:sz w:val="18"/>
                <w:szCs w:val="18"/>
              </w:rPr>
            </w:pPr>
            <w:r w:rsidRPr="00906AF9">
              <w:rPr>
                <w:rFonts w:ascii="Arial" w:hAnsi="Arial" w:cs="Arial"/>
                <w:b/>
                <w:bCs/>
                <w:color w:val="2B2B38"/>
                <w:sz w:val="18"/>
                <w:szCs w:val="18"/>
                <w:shd w:val="clear" w:color="auto" w:fill="FFFFFF"/>
              </w:rPr>
              <w:br/>
            </w:r>
            <w:bookmarkStart w:id="0" w:name="_Hlk34325135"/>
            <w:r w:rsidRPr="00906AF9">
              <w:rPr>
                <w:rStyle w:val="lev"/>
                <w:rFonts w:ascii="Arial" w:hAnsi="Arial" w:cs="Arial"/>
                <w:sz w:val="18"/>
                <w:szCs w:val="18"/>
              </w:rPr>
              <w:t>À propos de Servier</w:t>
            </w:r>
          </w:p>
          <w:p w14:paraId="4282761C" w14:textId="77777777" w:rsidR="007809CB" w:rsidRDefault="007809CB" w:rsidP="007809CB">
            <w:pPr>
              <w:jc w:val="both"/>
              <w:rPr>
                <w:rFonts w:ascii="Arial" w:hAnsi="Arial" w:cs="Arial"/>
                <w:color w:val="000000"/>
                <w:sz w:val="18"/>
                <w:szCs w:val="18"/>
                <w:lang w:eastAsia="fr-FR"/>
              </w:rPr>
            </w:pPr>
            <w:r w:rsidRPr="00242F8B">
              <w:rPr>
                <w:rFonts w:ascii="Arial" w:hAnsi="Arial" w:cs="Arial"/>
                <w:color w:val="000000"/>
                <w:sz w:val="18"/>
                <w:szCs w:val="18"/>
                <w:lang w:eastAsia="fr-FR"/>
              </w:rPr>
              <w:t>Servier est un groupe pharmaceutique international gouverné par une Fondation. S’appuyant sur une solide implantation géographique et un chiffre d’affaires de 4,7 milliards d’euros en 2020 réalisé dans 150 pays, Servier emploie 22 500 personnes dans le monde. Servier est un groupe indépendant qui investit chaque année plus de 20 % de son chiffre d’affaires princeps en Recherche et Développement. Pour accélérer l’innovation thérapeutique au bénéfice des patients, le Groupe s’inscrit dans une dynamique d’innovation ouverte et collaborative avec des partenaires académiques, des groupes pharmaceutiques et des sociétés de biotechnologies. Il intègre également la voix du patient au cœur de ses activités, de la recherche jusqu’à l’accompagnement au-delà du médicament.</w:t>
            </w:r>
          </w:p>
          <w:p w14:paraId="21F9E525" w14:textId="77777777" w:rsidR="007809CB" w:rsidRPr="00242F8B" w:rsidRDefault="007809CB" w:rsidP="007809CB">
            <w:pPr>
              <w:jc w:val="both"/>
              <w:rPr>
                <w:rFonts w:ascii="Arial" w:hAnsi="Arial" w:cs="Arial"/>
                <w:color w:val="000000"/>
                <w:sz w:val="18"/>
                <w:szCs w:val="18"/>
                <w:lang w:eastAsia="fr-FR"/>
              </w:rPr>
            </w:pPr>
          </w:p>
          <w:p w14:paraId="0AD86F2C" w14:textId="77777777" w:rsidR="007809CB" w:rsidRPr="007809CB" w:rsidRDefault="007809CB" w:rsidP="007809CB">
            <w:pPr>
              <w:pStyle w:val="Default"/>
              <w:jc w:val="both"/>
              <w:rPr>
                <w:color w:val="auto"/>
                <w:sz w:val="18"/>
                <w:szCs w:val="18"/>
              </w:rPr>
            </w:pPr>
            <w:r w:rsidRPr="000707A1">
              <w:rPr>
                <w:sz w:val="18"/>
                <w:szCs w:val="18"/>
              </w:rPr>
              <w:t xml:space="preserve">Leader en cardiologie, le groupe Servier a pour ambition de devenir un acteur reconnu et innovant en oncologie. Sa croissance repose sur un engagement constant dans les maladies cardiovasculaires et du métabolisme, l’oncologie, les maladies immuno-inflammatoires et les neurosciences. Pour favoriser l’accès aux soins pour tous, le groupe Servier propose également une offre de médicaments génériques de qualité couvrant la majorité des pathologies. Plus d’information sur le </w:t>
            </w:r>
            <w:r w:rsidRPr="007809CB">
              <w:rPr>
                <w:sz w:val="18"/>
                <w:szCs w:val="18"/>
              </w:rPr>
              <w:t xml:space="preserve">site </w:t>
            </w:r>
            <w:hyperlink r:id="rId34" w:history="1">
              <w:r w:rsidRPr="007809CB">
                <w:rPr>
                  <w:rStyle w:val="Lienhypertexte"/>
                  <w:sz w:val="18"/>
                  <w:szCs w:val="18"/>
                </w:rPr>
                <w:t>www.servier.com</w:t>
              </w:r>
            </w:hyperlink>
            <w:bookmarkEnd w:id="0"/>
          </w:p>
          <w:p w14:paraId="17CB91AD" w14:textId="491C264E" w:rsidR="007809CB" w:rsidRDefault="007809CB" w:rsidP="007809CB">
            <w:pPr>
              <w:autoSpaceDE w:val="0"/>
              <w:autoSpaceDN w:val="0"/>
              <w:adjustRightInd w:val="0"/>
              <w:jc w:val="center"/>
              <w:rPr>
                <w:rFonts w:ascii="Arial" w:hAnsi="Arial" w:cs="Arial"/>
                <w:noProof/>
                <w:sz w:val="20"/>
                <w:szCs w:val="20"/>
              </w:rPr>
            </w:pPr>
          </w:p>
        </w:tc>
      </w:tr>
      <w:tr w:rsidR="00125088" w14:paraId="44DE6EE3" w14:textId="77777777" w:rsidTr="00A57B92">
        <w:trPr>
          <w:jc w:val="center"/>
        </w:trPr>
        <w:tc>
          <w:tcPr>
            <w:tcW w:w="9072" w:type="dxa"/>
            <w:gridSpan w:val="10"/>
            <w:vAlign w:val="center"/>
          </w:tcPr>
          <w:p w14:paraId="3EEDD3AD" w14:textId="77777777" w:rsidR="00125088" w:rsidRDefault="00125088" w:rsidP="00125088">
            <w:pPr>
              <w:jc w:val="center"/>
              <w:rPr>
                <w:rFonts w:ascii="Arial" w:hAnsi="Arial" w:cs="Arial"/>
                <w:sz w:val="18"/>
                <w:szCs w:val="18"/>
              </w:rPr>
            </w:pPr>
          </w:p>
        </w:tc>
      </w:tr>
    </w:tbl>
    <w:p w14:paraId="12393DE3" w14:textId="77777777" w:rsidR="002830E9" w:rsidRPr="00906AF9" w:rsidRDefault="002830E9" w:rsidP="00125088">
      <w:pPr>
        <w:rPr>
          <w:rFonts w:ascii="Arial" w:hAnsi="Arial" w:cs="Arial"/>
          <w:sz w:val="18"/>
          <w:szCs w:val="18"/>
        </w:rPr>
      </w:pPr>
    </w:p>
    <w:sectPr w:rsidR="002830E9" w:rsidRPr="00906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73B9F" w14:textId="77777777" w:rsidR="00172FF0" w:rsidRDefault="00172FF0" w:rsidP="00300E26">
      <w:pPr>
        <w:spacing w:after="0" w:line="240" w:lineRule="auto"/>
      </w:pPr>
      <w:r>
        <w:separator/>
      </w:r>
    </w:p>
  </w:endnote>
  <w:endnote w:type="continuationSeparator" w:id="0">
    <w:p w14:paraId="55A3FBF7" w14:textId="77777777" w:rsidR="00172FF0" w:rsidRDefault="00172FF0" w:rsidP="0030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0B38" w14:textId="77777777" w:rsidR="00172FF0" w:rsidRDefault="00172FF0" w:rsidP="00300E26">
      <w:pPr>
        <w:spacing w:after="0" w:line="240" w:lineRule="auto"/>
      </w:pPr>
      <w:r>
        <w:separator/>
      </w:r>
    </w:p>
  </w:footnote>
  <w:footnote w:type="continuationSeparator" w:id="0">
    <w:p w14:paraId="75B6B920" w14:textId="77777777" w:rsidR="00172FF0" w:rsidRDefault="00172FF0" w:rsidP="00300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D6112"/>
    <w:multiLevelType w:val="hybridMultilevel"/>
    <w:tmpl w:val="7398F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9D"/>
    <w:rsid w:val="0000311B"/>
    <w:rsid w:val="00003699"/>
    <w:rsid w:val="00011C0E"/>
    <w:rsid w:val="00016388"/>
    <w:rsid w:val="000163E9"/>
    <w:rsid w:val="00020512"/>
    <w:rsid w:val="00020FA8"/>
    <w:rsid w:val="00025BEA"/>
    <w:rsid w:val="000333BE"/>
    <w:rsid w:val="00046205"/>
    <w:rsid w:val="00047717"/>
    <w:rsid w:val="0005265C"/>
    <w:rsid w:val="00052A07"/>
    <w:rsid w:val="00056030"/>
    <w:rsid w:val="00063B1C"/>
    <w:rsid w:val="00064E3F"/>
    <w:rsid w:val="00066FD2"/>
    <w:rsid w:val="000707A1"/>
    <w:rsid w:val="00071F0D"/>
    <w:rsid w:val="000818B4"/>
    <w:rsid w:val="00083C1A"/>
    <w:rsid w:val="00085CA7"/>
    <w:rsid w:val="00086B50"/>
    <w:rsid w:val="00092DF9"/>
    <w:rsid w:val="000969AF"/>
    <w:rsid w:val="000A3A58"/>
    <w:rsid w:val="000D1016"/>
    <w:rsid w:val="000D3397"/>
    <w:rsid w:val="000D586A"/>
    <w:rsid w:val="000E04D4"/>
    <w:rsid w:val="000E0C42"/>
    <w:rsid w:val="000E4882"/>
    <w:rsid w:val="000F3C53"/>
    <w:rsid w:val="000F650F"/>
    <w:rsid w:val="000F79FF"/>
    <w:rsid w:val="00107A8B"/>
    <w:rsid w:val="00113D1A"/>
    <w:rsid w:val="00125088"/>
    <w:rsid w:val="00132948"/>
    <w:rsid w:val="00135791"/>
    <w:rsid w:val="00142FC5"/>
    <w:rsid w:val="00152250"/>
    <w:rsid w:val="00154D00"/>
    <w:rsid w:val="0016007C"/>
    <w:rsid w:val="00164519"/>
    <w:rsid w:val="00172FF0"/>
    <w:rsid w:val="00177748"/>
    <w:rsid w:val="0018650A"/>
    <w:rsid w:val="001912C7"/>
    <w:rsid w:val="00191702"/>
    <w:rsid w:val="00191957"/>
    <w:rsid w:val="00192400"/>
    <w:rsid w:val="001969E7"/>
    <w:rsid w:val="001A4978"/>
    <w:rsid w:val="001A4DEB"/>
    <w:rsid w:val="001A5938"/>
    <w:rsid w:val="001A5FA0"/>
    <w:rsid w:val="001A6585"/>
    <w:rsid w:val="001A6935"/>
    <w:rsid w:val="001C1392"/>
    <w:rsid w:val="001C6CF8"/>
    <w:rsid w:val="001C7109"/>
    <w:rsid w:val="001D1879"/>
    <w:rsid w:val="001E7192"/>
    <w:rsid w:val="001E733A"/>
    <w:rsid w:val="001F0C8A"/>
    <w:rsid w:val="001F4000"/>
    <w:rsid w:val="0020314A"/>
    <w:rsid w:val="00205C42"/>
    <w:rsid w:val="00210931"/>
    <w:rsid w:val="00214A29"/>
    <w:rsid w:val="00227F2A"/>
    <w:rsid w:val="00234EC3"/>
    <w:rsid w:val="00242051"/>
    <w:rsid w:val="00242F8B"/>
    <w:rsid w:val="00265F90"/>
    <w:rsid w:val="002662BF"/>
    <w:rsid w:val="0027655B"/>
    <w:rsid w:val="002830E9"/>
    <w:rsid w:val="002877BE"/>
    <w:rsid w:val="00293E16"/>
    <w:rsid w:val="002A31F6"/>
    <w:rsid w:val="002A6F27"/>
    <w:rsid w:val="002D0CD8"/>
    <w:rsid w:val="002D4D71"/>
    <w:rsid w:val="002E2262"/>
    <w:rsid w:val="002F3F4C"/>
    <w:rsid w:val="002F48C8"/>
    <w:rsid w:val="00300E26"/>
    <w:rsid w:val="00304CD0"/>
    <w:rsid w:val="003128B9"/>
    <w:rsid w:val="003249E9"/>
    <w:rsid w:val="0032665E"/>
    <w:rsid w:val="003327F2"/>
    <w:rsid w:val="00333572"/>
    <w:rsid w:val="00340900"/>
    <w:rsid w:val="003433EA"/>
    <w:rsid w:val="003553A7"/>
    <w:rsid w:val="00360150"/>
    <w:rsid w:val="003609D8"/>
    <w:rsid w:val="003726DD"/>
    <w:rsid w:val="003741DA"/>
    <w:rsid w:val="00381858"/>
    <w:rsid w:val="0038282E"/>
    <w:rsid w:val="00383A32"/>
    <w:rsid w:val="00383E1C"/>
    <w:rsid w:val="00385522"/>
    <w:rsid w:val="003925C2"/>
    <w:rsid w:val="00396F73"/>
    <w:rsid w:val="003A71E0"/>
    <w:rsid w:val="003B5210"/>
    <w:rsid w:val="003B67A1"/>
    <w:rsid w:val="003B6E02"/>
    <w:rsid w:val="003D178A"/>
    <w:rsid w:val="003D1DA2"/>
    <w:rsid w:val="003D409A"/>
    <w:rsid w:val="003F4A98"/>
    <w:rsid w:val="004004A9"/>
    <w:rsid w:val="00423C68"/>
    <w:rsid w:val="004274B5"/>
    <w:rsid w:val="00456B66"/>
    <w:rsid w:val="00460092"/>
    <w:rsid w:val="00463A6C"/>
    <w:rsid w:val="004666C1"/>
    <w:rsid w:val="00492BEC"/>
    <w:rsid w:val="004A0417"/>
    <w:rsid w:val="004B3339"/>
    <w:rsid w:val="004B3F18"/>
    <w:rsid w:val="004C5903"/>
    <w:rsid w:val="004F05A2"/>
    <w:rsid w:val="004F7635"/>
    <w:rsid w:val="00505147"/>
    <w:rsid w:val="00517A94"/>
    <w:rsid w:val="005218C8"/>
    <w:rsid w:val="0052235C"/>
    <w:rsid w:val="005257B1"/>
    <w:rsid w:val="00526912"/>
    <w:rsid w:val="005406D5"/>
    <w:rsid w:val="00540B1B"/>
    <w:rsid w:val="00545987"/>
    <w:rsid w:val="00546966"/>
    <w:rsid w:val="00550092"/>
    <w:rsid w:val="00551A14"/>
    <w:rsid w:val="00562C21"/>
    <w:rsid w:val="0057646A"/>
    <w:rsid w:val="00576F8F"/>
    <w:rsid w:val="0059781A"/>
    <w:rsid w:val="005B1D4D"/>
    <w:rsid w:val="005B40A0"/>
    <w:rsid w:val="005B7624"/>
    <w:rsid w:val="005E146A"/>
    <w:rsid w:val="005E5F56"/>
    <w:rsid w:val="005F1667"/>
    <w:rsid w:val="005F1867"/>
    <w:rsid w:val="005F7112"/>
    <w:rsid w:val="00605776"/>
    <w:rsid w:val="006061FA"/>
    <w:rsid w:val="006128E8"/>
    <w:rsid w:val="00626081"/>
    <w:rsid w:val="00632CB4"/>
    <w:rsid w:val="00642BAA"/>
    <w:rsid w:val="00655CA2"/>
    <w:rsid w:val="006609A3"/>
    <w:rsid w:val="006702E6"/>
    <w:rsid w:val="00674B80"/>
    <w:rsid w:val="006764FD"/>
    <w:rsid w:val="00677583"/>
    <w:rsid w:val="0069334A"/>
    <w:rsid w:val="00695A8D"/>
    <w:rsid w:val="00696E5D"/>
    <w:rsid w:val="006A0771"/>
    <w:rsid w:val="006A232A"/>
    <w:rsid w:val="006A2ED7"/>
    <w:rsid w:val="006A33DA"/>
    <w:rsid w:val="006B1C75"/>
    <w:rsid w:val="006B630C"/>
    <w:rsid w:val="006B69AF"/>
    <w:rsid w:val="006C0CF3"/>
    <w:rsid w:val="006C6250"/>
    <w:rsid w:val="006D16F3"/>
    <w:rsid w:val="006E1C5E"/>
    <w:rsid w:val="006E470F"/>
    <w:rsid w:val="006E7CCF"/>
    <w:rsid w:val="006F1550"/>
    <w:rsid w:val="006F3488"/>
    <w:rsid w:val="006F411C"/>
    <w:rsid w:val="006F4CF3"/>
    <w:rsid w:val="00701954"/>
    <w:rsid w:val="0070511D"/>
    <w:rsid w:val="0070730A"/>
    <w:rsid w:val="00711BE4"/>
    <w:rsid w:val="00714C49"/>
    <w:rsid w:val="007157CC"/>
    <w:rsid w:val="00720FBA"/>
    <w:rsid w:val="007235D9"/>
    <w:rsid w:val="00727019"/>
    <w:rsid w:val="00740392"/>
    <w:rsid w:val="0074625E"/>
    <w:rsid w:val="007525B1"/>
    <w:rsid w:val="00754672"/>
    <w:rsid w:val="0076190E"/>
    <w:rsid w:val="00771921"/>
    <w:rsid w:val="007721A2"/>
    <w:rsid w:val="007809CB"/>
    <w:rsid w:val="00784601"/>
    <w:rsid w:val="007A1514"/>
    <w:rsid w:val="007A18F2"/>
    <w:rsid w:val="007A6E1D"/>
    <w:rsid w:val="007D3E55"/>
    <w:rsid w:val="007D539D"/>
    <w:rsid w:val="007E1807"/>
    <w:rsid w:val="007E1F50"/>
    <w:rsid w:val="007E49B6"/>
    <w:rsid w:val="007E4F87"/>
    <w:rsid w:val="007E7A9A"/>
    <w:rsid w:val="00815620"/>
    <w:rsid w:val="0081769B"/>
    <w:rsid w:val="0082058D"/>
    <w:rsid w:val="00820C2E"/>
    <w:rsid w:val="00820F91"/>
    <w:rsid w:val="008334CF"/>
    <w:rsid w:val="00833B60"/>
    <w:rsid w:val="00834F70"/>
    <w:rsid w:val="00846C54"/>
    <w:rsid w:val="00850008"/>
    <w:rsid w:val="00852131"/>
    <w:rsid w:val="00857BE1"/>
    <w:rsid w:val="00860579"/>
    <w:rsid w:val="00864985"/>
    <w:rsid w:val="00866085"/>
    <w:rsid w:val="00867231"/>
    <w:rsid w:val="00867854"/>
    <w:rsid w:val="0087086F"/>
    <w:rsid w:val="00875490"/>
    <w:rsid w:val="00882D46"/>
    <w:rsid w:val="00890BC9"/>
    <w:rsid w:val="00891201"/>
    <w:rsid w:val="00892077"/>
    <w:rsid w:val="008A294F"/>
    <w:rsid w:val="008A41C5"/>
    <w:rsid w:val="008A7EA2"/>
    <w:rsid w:val="008B2A45"/>
    <w:rsid w:val="008B4B06"/>
    <w:rsid w:val="008B5216"/>
    <w:rsid w:val="008C00A8"/>
    <w:rsid w:val="008E4BE1"/>
    <w:rsid w:val="008F1F14"/>
    <w:rsid w:val="00906AF9"/>
    <w:rsid w:val="00906F07"/>
    <w:rsid w:val="009113CF"/>
    <w:rsid w:val="00915AB4"/>
    <w:rsid w:val="0093214E"/>
    <w:rsid w:val="00937D23"/>
    <w:rsid w:val="0094110C"/>
    <w:rsid w:val="009438E7"/>
    <w:rsid w:val="00945D11"/>
    <w:rsid w:val="00992611"/>
    <w:rsid w:val="00996BCE"/>
    <w:rsid w:val="009A1C29"/>
    <w:rsid w:val="009B7C39"/>
    <w:rsid w:val="009D1DAA"/>
    <w:rsid w:val="009E1E51"/>
    <w:rsid w:val="009E7648"/>
    <w:rsid w:val="00A0336E"/>
    <w:rsid w:val="00A03C58"/>
    <w:rsid w:val="00A04F00"/>
    <w:rsid w:val="00A066AA"/>
    <w:rsid w:val="00A06B9D"/>
    <w:rsid w:val="00A16F2B"/>
    <w:rsid w:val="00A1710A"/>
    <w:rsid w:val="00A233A5"/>
    <w:rsid w:val="00A23CBD"/>
    <w:rsid w:val="00A30018"/>
    <w:rsid w:val="00A40D9D"/>
    <w:rsid w:val="00A516AA"/>
    <w:rsid w:val="00A60A15"/>
    <w:rsid w:val="00A71769"/>
    <w:rsid w:val="00A90419"/>
    <w:rsid w:val="00A9744E"/>
    <w:rsid w:val="00AA22BE"/>
    <w:rsid w:val="00AA3338"/>
    <w:rsid w:val="00AA785E"/>
    <w:rsid w:val="00AB757C"/>
    <w:rsid w:val="00AB7938"/>
    <w:rsid w:val="00AD10D0"/>
    <w:rsid w:val="00AD7D04"/>
    <w:rsid w:val="00AE3529"/>
    <w:rsid w:val="00AE40A5"/>
    <w:rsid w:val="00AE4552"/>
    <w:rsid w:val="00AE70FF"/>
    <w:rsid w:val="00AF3B30"/>
    <w:rsid w:val="00B021B6"/>
    <w:rsid w:val="00B03AD0"/>
    <w:rsid w:val="00B06989"/>
    <w:rsid w:val="00B07C42"/>
    <w:rsid w:val="00B125E3"/>
    <w:rsid w:val="00B25761"/>
    <w:rsid w:val="00B258A1"/>
    <w:rsid w:val="00B4472D"/>
    <w:rsid w:val="00B52D88"/>
    <w:rsid w:val="00B6242D"/>
    <w:rsid w:val="00B66B00"/>
    <w:rsid w:val="00B66C3F"/>
    <w:rsid w:val="00B72346"/>
    <w:rsid w:val="00B836E6"/>
    <w:rsid w:val="00B8782C"/>
    <w:rsid w:val="00B87E79"/>
    <w:rsid w:val="00BB5E21"/>
    <w:rsid w:val="00BC000B"/>
    <w:rsid w:val="00BD008B"/>
    <w:rsid w:val="00BD111F"/>
    <w:rsid w:val="00BD2AB0"/>
    <w:rsid w:val="00BE41AA"/>
    <w:rsid w:val="00BF6EDF"/>
    <w:rsid w:val="00BF71F1"/>
    <w:rsid w:val="00BF7CA5"/>
    <w:rsid w:val="00C01FB4"/>
    <w:rsid w:val="00C0542B"/>
    <w:rsid w:val="00C05437"/>
    <w:rsid w:val="00C139C3"/>
    <w:rsid w:val="00C16209"/>
    <w:rsid w:val="00C178F0"/>
    <w:rsid w:val="00C2711E"/>
    <w:rsid w:val="00C32C26"/>
    <w:rsid w:val="00C37A7F"/>
    <w:rsid w:val="00C4394E"/>
    <w:rsid w:val="00C478F6"/>
    <w:rsid w:val="00C576C4"/>
    <w:rsid w:val="00C6725E"/>
    <w:rsid w:val="00C67DD9"/>
    <w:rsid w:val="00C731D6"/>
    <w:rsid w:val="00C751B4"/>
    <w:rsid w:val="00C7665F"/>
    <w:rsid w:val="00C82D28"/>
    <w:rsid w:val="00C879EF"/>
    <w:rsid w:val="00CB2043"/>
    <w:rsid w:val="00CB5B4B"/>
    <w:rsid w:val="00CC3CE7"/>
    <w:rsid w:val="00CD2E23"/>
    <w:rsid w:val="00CE006F"/>
    <w:rsid w:val="00CE31F3"/>
    <w:rsid w:val="00CE34F4"/>
    <w:rsid w:val="00CF093A"/>
    <w:rsid w:val="00CF22F3"/>
    <w:rsid w:val="00CF33E5"/>
    <w:rsid w:val="00CF4F36"/>
    <w:rsid w:val="00D04AFF"/>
    <w:rsid w:val="00D0617F"/>
    <w:rsid w:val="00D068F5"/>
    <w:rsid w:val="00D129DD"/>
    <w:rsid w:val="00D21FC0"/>
    <w:rsid w:val="00D220B2"/>
    <w:rsid w:val="00D3304B"/>
    <w:rsid w:val="00D33EC2"/>
    <w:rsid w:val="00D40B1D"/>
    <w:rsid w:val="00D4640A"/>
    <w:rsid w:val="00D47706"/>
    <w:rsid w:val="00D56184"/>
    <w:rsid w:val="00D71D48"/>
    <w:rsid w:val="00D850CF"/>
    <w:rsid w:val="00D86E40"/>
    <w:rsid w:val="00D875CA"/>
    <w:rsid w:val="00D97FE3"/>
    <w:rsid w:val="00DA53A2"/>
    <w:rsid w:val="00DB35C4"/>
    <w:rsid w:val="00DC7183"/>
    <w:rsid w:val="00DE2CD4"/>
    <w:rsid w:val="00DF1168"/>
    <w:rsid w:val="00DF1694"/>
    <w:rsid w:val="00DF632C"/>
    <w:rsid w:val="00E000D3"/>
    <w:rsid w:val="00E00AD2"/>
    <w:rsid w:val="00E01AC4"/>
    <w:rsid w:val="00E03345"/>
    <w:rsid w:val="00E05628"/>
    <w:rsid w:val="00E11A1E"/>
    <w:rsid w:val="00E25AA6"/>
    <w:rsid w:val="00E33356"/>
    <w:rsid w:val="00E515AC"/>
    <w:rsid w:val="00E54776"/>
    <w:rsid w:val="00E553C6"/>
    <w:rsid w:val="00E57E51"/>
    <w:rsid w:val="00E64E55"/>
    <w:rsid w:val="00E7108B"/>
    <w:rsid w:val="00E73816"/>
    <w:rsid w:val="00E74237"/>
    <w:rsid w:val="00E74A8A"/>
    <w:rsid w:val="00E7601C"/>
    <w:rsid w:val="00E76047"/>
    <w:rsid w:val="00EB1E6B"/>
    <w:rsid w:val="00EB738F"/>
    <w:rsid w:val="00ED7017"/>
    <w:rsid w:val="00EF6496"/>
    <w:rsid w:val="00F017AC"/>
    <w:rsid w:val="00F0490D"/>
    <w:rsid w:val="00F11956"/>
    <w:rsid w:val="00F161CE"/>
    <w:rsid w:val="00F17EBD"/>
    <w:rsid w:val="00F2204C"/>
    <w:rsid w:val="00F253E0"/>
    <w:rsid w:val="00F458DA"/>
    <w:rsid w:val="00F6211B"/>
    <w:rsid w:val="00F65390"/>
    <w:rsid w:val="00F6615F"/>
    <w:rsid w:val="00F75A5C"/>
    <w:rsid w:val="00F77D13"/>
    <w:rsid w:val="00FA14D4"/>
    <w:rsid w:val="00FA6826"/>
    <w:rsid w:val="00FB504C"/>
    <w:rsid w:val="00FC14A8"/>
    <w:rsid w:val="00FC390D"/>
    <w:rsid w:val="00FD312D"/>
    <w:rsid w:val="00FE0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70B1"/>
  <w15:chartTrackingRefBased/>
  <w15:docId w15:val="{36C98525-1CAE-4BAB-AFFA-E0E21E68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p1">
    <w:name w:val="gmail-p1"/>
    <w:basedOn w:val="Normal"/>
    <w:rsid w:val="006D16F3"/>
    <w:pPr>
      <w:spacing w:before="100" w:beforeAutospacing="1" w:after="100" w:afterAutospacing="1" w:line="240" w:lineRule="auto"/>
    </w:pPr>
    <w:rPr>
      <w:rFonts w:ascii="Calibri" w:hAnsi="Calibri" w:cs="Calibri"/>
      <w:lang w:eastAsia="fr-FR"/>
    </w:rPr>
  </w:style>
  <w:style w:type="character" w:customStyle="1" w:styleId="gmail-s1">
    <w:name w:val="gmail-s1"/>
    <w:basedOn w:val="Policepardfaut"/>
    <w:rsid w:val="006D16F3"/>
  </w:style>
  <w:style w:type="paragraph" w:styleId="Paragraphedeliste">
    <w:name w:val="List Paragraph"/>
    <w:basedOn w:val="Normal"/>
    <w:uiPriority w:val="34"/>
    <w:qFormat/>
    <w:rsid w:val="00E54776"/>
    <w:pPr>
      <w:ind w:left="720"/>
      <w:contextualSpacing/>
    </w:pPr>
  </w:style>
  <w:style w:type="paragraph" w:styleId="Sansinterligne">
    <w:name w:val="No Spacing"/>
    <w:uiPriority w:val="1"/>
    <w:qFormat/>
    <w:rsid w:val="003D409A"/>
    <w:pPr>
      <w:spacing w:after="0" w:line="240" w:lineRule="auto"/>
    </w:pPr>
  </w:style>
  <w:style w:type="paragraph" w:styleId="Textedebulles">
    <w:name w:val="Balloon Text"/>
    <w:basedOn w:val="Normal"/>
    <w:link w:val="TextedebullesCar"/>
    <w:uiPriority w:val="99"/>
    <w:semiHidden/>
    <w:unhideWhenUsed/>
    <w:rsid w:val="00945D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5D11"/>
    <w:rPr>
      <w:rFonts w:ascii="Segoe UI" w:hAnsi="Segoe UI" w:cs="Segoe UI"/>
      <w:sz w:val="18"/>
      <w:szCs w:val="18"/>
    </w:rPr>
  </w:style>
  <w:style w:type="table" w:styleId="Grilledutableau">
    <w:name w:val="Table Grid"/>
    <w:basedOn w:val="TableauNormal"/>
    <w:uiPriority w:val="59"/>
    <w:rsid w:val="0090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906AF9"/>
    <w:rPr>
      <w:color w:val="0000FF"/>
      <w:u w:val="single"/>
    </w:rPr>
  </w:style>
  <w:style w:type="paragraph" w:customStyle="1" w:styleId="Normala">
    <w:name w:val="Normal a"/>
    <w:basedOn w:val="Normal"/>
    <w:rsid w:val="00906AF9"/>
    <w:pPr>
      <w:spacing w:after="1" w:line="240" w:lineRule="auto"/>
      <w:ind w:right="23"/>
      <w:jc w:val="both"/>
    </w:pPr>
    <w:rPr>
      <w:rFonts w:ascii="Arial" w:eastAsia="Times New Roman" w:hAnsi="Arial" w:cs="Arial"/>
      <w:sz w:val="20"/>
      <w:szCs w:val="20"/>
      <w:lang w:val="en-US" w:bidi="en-US"/>
    </w:rPr>
  </w:style>
  <w:style w:type="character" w:styleId="lev">
    <w:name w:val="Strong"/>
    <w:basedOn w:val="Policepardfaut"/>
    <w:uiPriority w:val="22"/>
    <w:qFormat/>
    <w:rsid w:val="00906AF9"/>
    <w:rPr>
      <w:b/>
      <w:bCs/>
    </w:rPr>
  </w:style>
  <w:style w:type="paragraph" w:customStyle="1" w:styleId="Default">
    <w:name w:val="Default"/>
    <w:basedOn w:val="Normal"/>
    <w:rsid w:val="00906AF9"/>
    <w:pPr>
      <w:autoSpaceDE w:val="0"/>
      <w:autoSpaceDN w:val="0"/>
      <w:spacing w:after="0" w:line="240" w:lineRule="auto"/>
    </w:pPr>
    <w:rPr>
      <w:rFonts w:ascii="Arial" w:hAnsi="Arial" w:cs="Arial"/>
      <w:color w:val="000000"/>
      <w:sz w:val="24"/>
      <w:szCs w:val="24"/>
      <w:lang w:eastAsia="fr-FR"/>
    </w:rPr>
  </w:style>
  <w:style w:type="character" w:styleId="Mentionnonrsolue">
    <w:name w:val="Unresolved Mention"/>
    <w:basedOn w:val="Policepardfaut"/>
    <w:uiPriority w:val="99"/>
    <w:semiHidden/>
    <w:unhideWhenUsed/>
    <w:rsid w:val="002830E9"/>
    <w:rPr>
      <w:color w:val="605E5C"/>
      <w:shd w:val="clear" w:color="auto" w:fill="E1DFDD"/>
    </w:rPr>
  </w:style>
  <w:style w:type="paragraph" w:styleId="Rvision">
    <w:name w:val="Revision"/>
    <w:hidden/>
    <w:uiPriority w:val="99"/>
    <w:semiHidden/>
    <w:rsid w:val="002D4D71"/>
    <w:pPr>
      <w:spacing w:after="0" w:line="240" w:lineRule="auto"/>
    </w:pPr>
  </w:style>
  <w:style w:type="paragraph" w:styleId="NormalWeb">
    <w:name w:val="Normal (Web)"/>
    <w:basedOn w:val="Normal"/>
    <w:uiPriority w:val="99"/>
    <w:unhideWhenUsed/>
    <w:rsid w:val="00B07C42"/>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4992">
      <w:bodyDiv w:val="1"/>
      <w:marLeft w:val="0"/>
      <w:marRight w:val="0"/>
      <w:marTop w:val="0"/>
      <w:marBottom w:val="0"/>
      <w:divBdr>
        <w:top w:val="none" w:sz="0" w:space="0" w:color="auto"/>
        <w:left w:val="none" w:sz="0" w:space="0" w:color="auto"/>
        <w:bottom w:val="none" w:sz="0" w:space="0" w:color="auto"/>
        <w:right w:val="none" w:sz="0" w:space="0" w:color="auto"/>
      </w:divBdr>
    </w:div>
    <w:div w:id="324939430">
      <w:bodyDiv w:val="1"/>
      <w:marLeft w:val="0"/>
      <w:marRight w:val="0"/>
      <w:marTop w:val="0"/>
      <w:marBottom w:val="0"/>
      <w:divBdr>
        <w:top w:val="none" w:sz="0" w:space="0" w:color="auto"/>
        <w:left w:val="none" w:sz="0" w:space="0" w:color="auto"/>
        <w:bottom w:val="none" w:sz="0" w:space="0" w:color="auto"/>
        <w:right w:val="none" w:sz="0" w:space="0" w:color="auto"/>
      </w:divBdr>
    </w:div>
    <w:div w:id="378014340">
      <w:bodyDiv w:val="1"/>
      <w:marLeft w:val="0"/>
      <w:marRight w:val="0"/>
      <w:marTop w:val="0"/>
      <w:marBottom w:val="0"/>
      <w:divBdr>
        <w:top w:val="none" w:sz="0" w:space="0" w:color="auto"/>
        <w:left w:val="none" w:sz="0" w:space="0" w:color="auto"/>
        <w:bottom w:val="none" w:sz="0" w:space="0" w:color="auto"/>
        <w:right w:val="none" w:sz="0" w:space="0" w:color="auto"/>
      </w:divBdr>
    </w:div>
    <w:div w:id="492574963">
      <w:bodyDiv w:val="1"/>
      <w:marLeft w:val="0"/>
      <w:marRight w:val="0"/>
      <w:marTop w:val="0"/>
      <w:marBottom w:val="0"/>
      <w:divBdr>
        <w:top w:val="none" w:sz="0" w:space="0" w:color="auto"/>
        <w:left w:val="none" w:sz="0" w:space="0" w:color="auto"/>
        <w:bottom w:val="none" w:sz="0" w:space="0" w:color="auto"/>
        <w:right w:val="none" w:sz="0" w:space="0" w:color="auto"/>
      </w:divBdr>
    </w:div>
    <w:div w:id="572275370">
      <w:bodyDiv w:val="1"/>
      <w:marLeft w:val="0"/>
      <w:marRight w:val="0"/>
      <w:marTop w:val="0"/>
      <w:marBottom w:val="0"/>
      <w:divBdr>
        <w:top w:val="none" w:sz="0" w:space="0" w:color="auto"/>
        <w:left w:val="none" w:sz="0" w:space="0" w:color="auto"/>
        <w:bottom w:val="none" w:sz="0" w:space="0" w:color="auto"/>
        <w:right w:val="none" w:sz="0" w:space="0" w:color="auto"/>
      </w:divBdr>
    </w:div>
    <w:div w:id="1048189667">
      <w:bodyDiv w:val="1"/>
      <w:marLeft w:val="0"/>
      <w:marRight w:val="0"/>
      <w:marTop w:val="0"/>
      <w:marBottom w:val="0"/>
      <w:divBdr>
        <w:top w:val="none" w:sz="0" w:space="0" w:color="auto"/>
        <w:left w:val="none" w:sz="0" w:space="0" w:color="auto"/>
        <w:bottom w:val="none" w:sz="0" w:space="0" w:color="auto"/>
        <w:right w:val="none" w:sz="0" w:space="0" w:color="auto"/>
      </w:divBdr>
    </w:div>
    <w:div w:id="1926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fis.fr/"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servier.com" TargetMode="External"/><Relationship Id="rId7" Type="http://schemas.openxmlformats.org/officeDocument/2006/relationships/settings" Target="settings.xml"/><Relationship Id="rId12" Type="http://schemas.openxmlformats.org/officeDocument/2006/relationships/hyperlink" Target="https://www.ease-training.fr/" TargetMode="Externa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hyperlink" Target="https://eur01.safelinks.protection.outlook.com/?url=https%3A%2F%2Fwww.novasep.com%2F&amp;data=04%7C01%7CRomain.Van-Haebost%40sanofi.com%7Ccb61cf71d16e4439707508d89c87f8d9%7Caca3c8d6aa714e1aa10e03572fc58c0b%7C0%7C0%7C637431455231342861%7CUnknown%7CTWFpbGZsb3d8eyJWIjoiMC4wLjAwMDAiLCJQIjoiV2luMzIiLCJBTiI6Ik1haWwiLCJXVCI6Mn0%3D%7C1000&amp;sdata=LYe7EIOZVImPxgXUqj7FgiIinIjqnkOEuUIAEogJIME%3D&amp;reserved=0" TargetMode="External"/><Relationship Id="rId2" Type="http://schemas.openxmlformats.org/officeDocument/2006/relationships/customXml" Target="../customXml/item2.xml"/><Relationship Id="rId16" Type="http://schemas.openxmlformats.org/officeDocument/2006/relationships/hyperlink" Target="https://www.estbb.fr/" TargetMode="External"/><Relationship Id="rId20" Type="http://schemas.openxmlformats.org/officeDocument/2006/relationships/hyperlink" Target="https://www.groupe-imt.com/"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biotech.fr/" TargetMode="External"/><Relationship Id="rId32" Type="http://schemas.openxmlformats.org/officeDocument/2006/relationships/hyperlink" Target="http://www.biomerieux.com"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stbb.bordeaux-inp.fr/fr" TargetMode="External"/><Relationship Id="rId22" Type="http://schemas.openxmlformats.org/officeDocument/2006/relationships/hyperlink" Target="https://www.mabdesign.fr/" TargetMode="External"/><Relationship Id="rId27" Type="http://schemas.openxmlformats.org/officeDocument/2006/relationships/image" Target="media/image10.png"/><Relationship Id="rId30" Type="http://schemas.openxmlformats.org/officeDocument/2006/relationships/hyperlink" Target="mailto:sberaud@hopscotch.fr"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c3f2c442817ddc3b48c07b3ec49a5bf9">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8719deee3cc4b91f69bf8d4a01b7eb04"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E3FEE-9829-4268-BF7B-D7ED7E8139CB}">
  <ds:schemaRefs>
    <ds:schemaRef ds:uri="http://schemas.openxmlformats.org/officeDocument/2006/bibliography"/>
  </ds:schemaRefs>
</ds:datastoreItem>
</file>

<file path=customXml/itemProps2.xml><?xml version="1.0" encoding="utf-8"?>
<ds:datastoreItem xmlns:ds="http://schemas.openxmlformats.org/officeDocument/2006/customXml" ds:itemID="{833B5DF4-D06F-4AD2-BFD8-B5DAD428E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11AD6-DD11-4F0D-9637-C1E07F7DB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9801D-02F8-4811-B9B3-36FE47F61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1307</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Van-Haebost, Romain /FR/EXT</dc:creator>
  <cp:keywords/>
  <dc:description/>
  <cp:lastModifiedBy>Sébastien BERAUD</cp:lastModifiedBy>
  <cp:revision>64</cp:revision>
  <dcterms:created xsi:type="dcterms:W3CDTF">2021-03-04T11:33:00Z</dcterms:created>
  <dcterms:modified xsi:type="dcterms:W3CDTF">2021-03-08T17:03:00Z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0x01010065FA9FFD3EED064EB633245508D06578</vt:lpwstr>
  </property>
</Properties>
</file>